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15" w:rsidRPr="007265A1" w:rsidRDefault="00B14103" w:rsidP="004E20A8">
      <w:pPr>
        <w:spacing w:after="0" w:line="360" w:lineRule="auto"/>
        <w:ind w:firstLine="709"/>
        <w:contextualSpacing/>
        <w:jc w:val="center"/>
        <w:rPr>
          <w:rFonts w:ascii="Times New Roman" w:hAnsi="Times New Roman" w:cs="Times New Roman"/>
          <w:b/>
          <w:sz w:val="28"/>
          <w:szCs w:val="28"/>
        </w:rPr>
      </w:pPr>
      <w:r w:rsidRPr="007265A1">
        <w:rPr>
          <w:rFonts w:ascii="Times New Roman" w:hAnsi="Times New Roman" w:cs="Times New Roman"/>
          <w:b/>
          <w:sz w:val="28"/>
          <w:szCs w:val="28"/>
        </w:rPr>
        <w:t>Зміст</w:t>
      </w:r>
    </w:p>
    <w:p w:rsidR="00FC0F15" w:rsidRPr="00FC6C08" w:rsidRDefault="00FC0F15" w:rsidP="00FC0F15">
      <w:pPr>
        <w:tabs>
          <w:tab w:val="right" w:leader="dot" w:pos="9923"/>
        </w:tabs>
        <w:spacing w:after="0" w:line="360" w:lineRule="auto"/>
        <w:ind w:firstLine="709"/>
        <w:contextualSpacing/>
        <w:jc w:val="both"/>
        <w:rPr>
          <w:rFonts w:ascii="Times New Roman" w:hAnsi="Times New Roman" w:cs="Times New Roman"/>
          <w:sz w:val="28"/>
          <w:szCs w:val="28"/>
          <w:lang w:val="uk-UA"/>
        </w:rPr>
      </w:pPr>
      <w:r w:rsidRPr="00E4149F">
        <w:rPr>
          <w:rFonts w:ascii="Times New Roman" w:hAnsi="Times New Roman" w:cs="Times New Roman"/>
          <w:sz w:val="28"/>
          <w:szCs w:val="28"/>
        </w:rPr>
        <w:t>Вступ</w:t>
      </w:r>
      <w:r>
        <w:rPr>
          <w:rFonts w:ascii="Times New Roman" w:hAnsi="Times New Roman" w:cs="Times New Roman"/>
          <w:sz w:val="28"/>
          <w:szCs w:val="28"/>
          <w:lang w:val="uk-UA"/>
        </w:rPr>
        <w:tab/>
        <w:t>4</w:t>
      </w:r>
    </w:p>
    <w:p w:rsidR="00FC0F15" w:rsidRPr="00FC6C08" w:rsidRDefault="00FC0F15" w:rsidP="00FC0F15">
      <w:pPr>
        <w:tabs>
          <w:tab w:val="right" w:leader="dot" w:pos="9923"/>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РОЗДІЛ</w:t>
      </w:r>
      <w:r w:rsidRPr="00E4149F">
        <w:rPr>
          <w:rFonts w:ascii="Times New Roman" w:hAnsi="Times New Roman" w:cs="Times New Roman"/>
          <w:sz w:val="28"/>
          <w:szCs w:val="28"/>
        </w:rPr>
        <w:t xml:space="preserve"> 1. Сутність та ключові характеристики облігацій </w:t>
      </w:r>
      <w:r>
        <w:rPr>
          <w:rFonts w:ascii="Times New Roman" w:hAnsi="Times New Roman" w:cs="Times New Roman"/>
          <w:sz w:val="28"/>
          <w:szCs w:val="28"/>
          <w:lang w:val="uk-UA"/>
        </w:rPr>
        <w:tab/>
        <w:t>6</w:t>
      </w:r>
    </w:p>
    <w:p w:rsidR="00FC0F15" w:rsidRPr="00FC6C08" w:rsidRDefault="00FC0F15" w:rsidP="00FC0F15">
      <w:pPr>
        <w:tabs>
          <w:tab w:val="right" w:leader="dot" w:pos="9923"/>
        </w:tabs>
        <w:spacing w:after="0" w:line="360" w:lineRule="auto"/>
        <w:ind w:firstLine="709"/>
        <w:contextualSpacing/>
        <w:jc w:val="both"/>
        <w:rPr>
          <w:rFonts w:ascii="Times New Roman" w:hAnsi="Times New Roman" w:cs="Times New Roman"/>
          <w:sz w:val="28"/>
          <w:szCs w:val="28"/>
          <w:lang w:val="uk-UA"/>
        </w:rPr>
      </w:pPr>
      <w:r w:rsidRPr="00E4149F">
        <w:rPr>
          <w:rFonts w:ascii="Times New Roman" w:hAnsi="Times New Roman" w:cs="Times New Roman"/>
          <w:sz w:val="28"/>
          <w:szCs w:val="28"/>
        </w:rPr>
        <w:t xml:space="preserve">1.1 Сутність облігацій як найбільш поширених боргових цінних паперів. </w:t>
      </w:r>
      <w:r>
        <w:rPr>
          <w:rFonts w:ascii="Times New Roman" w:hAnsi="Times New Roman" w:cs="Times New Roman"/>
          <w:sz w:val="28"/>
          <w:szCs w:val="28"/>
          <w:lang w:val="uk-UA"/>
        </w:rPr>
        <w:tab/>
        <w:t>6</w:t>
      </w:r>
    </w:p>
    <w:p w:rsidR="00FC0F15" w:rsidRPr="00FC6C08" w:rsidRDefault="00FC0F15" w:rsidP="00FC0F15">
      <w:pPr>
        <w:tabs>
          <w:tab w:val="right" w:leader="dot" w:pos="9923"/>
        </w:tabs>
        <w:spacing w:after="0" w:line="360" w:lineRule="auto"/>
        <w:ind w:firstLine="709"/>
        <w:contextualSpacing/>
        <w:jc w:val="both"/>
        <w:rPr>
          <w:rFonts w:ascii="Times New Roman" w:hAnsi="Times New Roman" w:cs="Times New Roman"/>
          <w:sz w:val="28"/>
          <w:szCs w:val="28"/>
          <w:lang w:val="uk-UA"/>
        </w:rPr>
      </w:pPr>
      <w:r w:rsidRPr="00B06609">
        <w:rPr>
          <w:rFonts w:ascii="Times New Roman" w:hAnsi="Times New Roman" w:cs="Times New Roman"/>
          <w:sz w:val="28"/>
          <w:szCs w:val="28"/>
          <w:lang w:val="uk-UA"/>
        </w:rPr>
        <w:t>1.2 Види облігацій: державні, муніципальні та корпоративні.</w:t>
      </w:r>
      <w:r>
        <w:rPr>
          <w:rFonts w:ascii="Times New Roman" w:hAnsi="Times New Roman" w:cs="Times New Roman"/>
          <w:sz w:val="28"/>
          <w:szCs w:val="28"/>
          <w:lang w:val="uk-UA"/>
        </w:rPr>
        <w:tab/>
        <w:t>10</w:t>
      </w:r>
    </w:p>
    <w:p w:rsidR="00FC0F15" w:rsidRPr="00FC6C08" w:rsidRDefault="00FC0F15" w:rsidP="00FC0F15">
      <w:pPr>
        <w:tabs>
          <w:tab w:val="right" w:leader="dot" w:pos="9923"/>
        </w:tabs>
        <w:spacing w:after="0" w:line="360" w:lineRule="auto"/>
        <w:ind w:firstLine="709"/>
        <w:contextualSpacing/>
        <w:jc w:val="both"/>
        <w:rPr>
          <w:rFonts w:ascii="Times New Roman" w:hAnsi="Times New Roman" w:cs="Times New Roman"/>
          <w:sz w:val="28"/>
          <w:szCs w:val="28"/>
          <w:lang w:val="uk-UA"/>
        </w:rPr>
      </w:pPr>
      <w:r w:rsidRPr="00B06609">
        <w:rPr>
          <w:rFonts w:ascii="Times New Roman" w:hAnsi="Times New Roman" w:cs="Times New Roman"/>
          <w:sz w:val="28"/>
          <w:szCs w:val="28"/>
          <w:lang w:val="uk-UA"/>
        </w:rPr>
        <w:t>1.3 Теоретичні основи формування та управління портфелем облігацій.</w:t>
      </w:r>
      <w:r>
        <w:rPr>
          <w:rFonts w:ascii="Times New Roman" w:hAnsi="Times New Roman" w:cs="Times New Roman"/>
          <w:sz w:val="28"/>
          <w:szCs w:val="28"/>
          <w:lang w:val="uk-UA"/>
        </w:rPr>
        <w:tab/>
        <w:t>13</w:t>
      </w:r>
    </w:p>
    <w:p w:rsidR="00FC0F15" w:rsidRPr="00FC6C08" w:rsidRDefault="00FC0F15" w:rsidP="00FC0F15">
      <w:pPr>
        <w:tabs>
          <w:tab w:val="right" w:leader="dot" w:pos="9923"/>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РОЗДІЛ</w:t>
      </w:r>
      <w:r w:rsidRPr="004C6488">
        <w:rPr>
          <w:rFonts w:ascii="Times New Roman" w:hAnsi="Times New Roman" w:cs="Times New Roman"/>
          <w:sz w:val="28"/>
          <w:szCs w:val="28"/>
          <w:lang w:val="uk-UA"/>
        </w:rPr>
        <w:t xml:space="preserve"> 2. Облігації як важливий сучасний інструмент фінансового</w:t>
      </w:r>
      <w:r>
        <w:rPr>
          <w:rFonts w:ascii="Times New Roman" w:hAnsi="Times New Roman" w:cs="Times New Roman"/>
          <w:sz w:val="28"/>
          <w:szCs w:val="28"/>
          <w:lang w:val="uk-UA"/>
        </w:rPr>
        <w:t xml:space="preserve"> </w:t>
      </w:r>
      <w:r w:rsidRPr="004C6488">
        <w:rPr>
          <w:rFonts w:ascii="Times New Roman" w:hAnsi="Times New Roman" w:cs="Times New Roman"/>
          <w:sz w:val="28"/>
          <w:szCs w:val="28"/>
          <w:lang w:val="uk-UA"/>
        </w:rPr>
        <w:t>інвестування</w:t>
      </w:r>
      <w:r>
        <w:rPr>
          <w:rFonts w:ascii="Times New Roman" w:hAnsi="Times New Roman" w:cs="Times New Roman"/>
          <w:sz w:val="28"/>
          <w:szCs w:val="28"/>
          <w:lang w:val="uk-UA"/>
        </w:rPr>
        <w:tab/>
        <w:t>16</w:t>
      </w:r>
    </w:p>
    <w:p w:rsidR="00FC0F15" w:rsidRPr="00FC6C08" w:rsidRDefault="00FC0F15" w:rsidP="00FC0F15">
      <w:pPr>
        <w:tabs>
          <w:tab w:val="right" w:leader="dot" w:pos="9923"/>
        </w:tabs>
        <w:spacing w:after="0" w:line="360" w:lineRule="auto"/>
        <w:ind w:firstLine="709"/>
        <w:contextualSpacing/>
        <w:jc w:val="both"/>
        <w:rPr>
          <w:rFonts w:ascii="Times New Roman" w:hAnsi="Times New Roman" w:cs="Times New Roman"/>
          <w:sz w:val="28"/>
          <w:szCs w:val="28"/>
          <w:lang w:val="uk-UA"/>
        </w:rPr>
      </w:pPr>
      <w:r w:rsidRPr="00FC6C08">
        <w:rPr>
          <w:rFonts w:ascii="Times New Roman" w:hAnsi="Times New Roman" w:cs="Times New Roman"/>
          <w:sz w:val="28"/>
          <w:szCs w:val="28"/>
          <w:lang w:val="uk-UA"/>
        </w:rPr>
        <w:t>2.1 Застосування облігацій як інвестиційного інструмента – аналіз світової</w:t>
      </w:r>
    </w:p>
    <w:p w:rsidR="00FC0F15" w:rsidRPr="00FC6C08" w:rsidRDefault="00FC0F15" w:rsidP="00FC0F15">
      <w:pPr>
        <w:tabs>
          <w:tab w:val="right" w:leader="dot" w:pos="9923"/>
        </w:tabs>
        <w:spacing w:after="0" w:line="360" w:lineRule="auto"/>
        <w:ind w:firstLine="709"/>
        <w:contextualSpacing/>
        <w:jc w:val="both"/>
        <w:rPr>
          <w:rFonts w:ascii="Times New Roman" w:hAnsi="Times New Roman" w:cs="Times New Roman"/>
          <w:sz w:val="28"/>
          <w:szCs w:val="28"/>
          <w:lang w:val="uk-UA"/>
        </w:rPr>
      </w:pPr>
      <w:r w:rsidRPr="00E4149F">
        <w:rPr>
          <w:rFonts w:ascii="Times New Roman" w:hAnsi="Times New Roman" w:cs="Times New Roman"/>
          <w:sz w:val="28"/>
          <w:szCs w:val="28"/>
        </w:rPr>
        <w:t>практики.</w:t>
      </w:r>
      <w:r>
        <w:rPr>
          <w:rFonts w:ascii="Times New Roman" w:hAnsi="Times New Roman" w:cs="Times New Roman"/>
          <w:sz w:val="28"/>
          <w:szCs w:val="28"/>
          <w:lang w:val="uk-UA"/>
        </w:rPr>
        <w:tab/>
        <w:t>16</w:t>
      </w:r>
    </w:p>
    <w:p w:rsidR="00FC0F15" w:rsidRPr="00FC6C08" w:rsidRDefault="00FC0F15" w:rsidP="00FC0F15">
      <w:pPr>
        <w:tabs>
          <w:tab w:val="right" w:leader="dot" w:pos="9923"/>
        </w:tabs>
        <w:spacing w:after="0" w:line="360" w:lineRule="auto"/>
        <w:ind w:firstLine="709"/>
        <w:contextualSpacing/>
        <w:jc w:val="both"/>
        <w:rPr>
          <w:rFonts w:ascii="Times New Roman" w:hAnsi="Times New Roman" w:cs="Times New Roman"/>
          <w:sz w:val="28"/>
          <w:szCs w:val="28"/>
          <w:lang w:val="uk-UA"/>
        </w:rPr>
      </w:pPr>
      <w:r w:rsidRPr="00E4149F">
        <w:rPr>
          <w:rFonts w:ascii="Times New Roman" w:hAnsi="Times New Roman" w:cs="Times New Roman"/>
          <w:sz w:val="28"/>
          <w:szCs w:val="28"/>
        </w:rPr>
        <w:t>2.2 Застосування корпоративних і державних облігацій в Україні.</w:t>
      </w:r>
      <w:r>
        <w:rPr>
          <w:rFonts w:ascii="Times New Roman" w:hAnsi="Times New Roman" w:cs="Times New Roman"/>
          <w:sz w:val="28"/>
          <w:szCs w:val="28"/>
          <w:lang w:val="uk-UA"/>
        </w:rPr>
        <w:tab/>
        <w:t>19</w:t>
      </w:r>
    </w:p>
    <w:p w:rsidR="00FC0F15" w:rsidRPr="00FC6C08" w:rsidRDefault="00FC0F15" w:rsidP="00FC0F15">
      <w:pPr>
        <w:tabs>
          <w:tab w:val="right" w:leader="dot" w:pos="9923"/>
        </w:tabs>
        <w:spacing w:after="0" w:line="360" w:lineRule="auto"/>
        <w:ind w:firstLine="709"/>
        <w:contextualSpacing/>
        <w:jc w:val="both"/>
        <w:rPr>
          <w:rFonts w:ascii="Times New Roman" w:hAnsi="Times New Roman" w:cs="Times New Roman"/>
          <w:sz w:val="28"/>
          <w:szCs w:val="28"/>
          <w:lang w:val="uk-UA"/>
        </w:rPr>
      </w:pPr>
      <w:r w:rsidRPr="00E4149F">
        <w:rPr>
          <w:rFonts w:ascii="Times New Roman" w:hAnsi="Times New Roman" w:cs="Times New Roman"/>
          <w:sz w:val="28"/>
          <w:szCs w:val="28"/>
        </w:rPr>
        <w:t xml:space="preserve">2.3 Проблеми </w:t>
      </w:r>
      <w:r>
        <w:rPr>
          <w:rFonts w:ascii="Times New Roman" w:hAnsi="Times New Roman" w:cs="Times New Roman"/>
          <w:sz w:val="28"/>
          <w:szCs w:val="28"/>
          <w:lang w:val="uk-UA"/>
        </w:rPr>
        <w:t>і перспективи розвитку державного ринку облігацій</w:t>
      </w:r>
      <w:r>
        <w:rPr>
          <w:rFonts w:ascii="Times New Roman" w:hAnsi="Times New Roman" w:cs="Times New Roman"/>
          <w:sz w:val="28"/>
          <w:szCs w:val="28"/>
          <w:lang w:val="uk-UA"/>
        </w:rPr>
        <w:tab/>
        <w:t>24</w:t>
      </w:r>
    </w:p>
    <w:p w:rsidR="00FC0F15" w:rsidRDefault="00FC0F15" w:rsidP="00FC0F15">
      <w:pPr>
        <w:tabs>
          <w:tab w:val="right" w:leader="dot" w:pos="9923"/>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РОЗДІЛ</w:t>
      </w:r>
      <w:r w:rsidRPr="004C6488">
        <w:rPr>
          <w:rFonts w:ascii="Times New Roman" w:hAnsi="Times New Roman" w:cs="Times New Roman"/>
          <w:sz w:val="28"/>
          <w:szCs w:val="28"/>
          <w:lang w:val="uk-UA"/>
        </w:rPr>
        <w:t xml:space="preserve"> 3. Перспективи активізації інвестування у вітчизняні облігації.</w:t>
      </w:r>
      <w:r>
        <w:rPr>
          <w:rFonts w:ascii="Times New Roman" w:hAnsi="Times New Roman" w:cs="Times New Roman"/>
          <w:sz w:val="28"/>
          <w:szCs w:val="28"/>
          <w:lang w:val="uk-UA"/>
        </w:rPr>
        <w:tab/>
        <w:t>28</w:t>
      </w:r>
    </w:p>
    <w:p w:rsidR="00FC0F15" w:rsidRDefault="00FC0F15" w:rsidP="00FC0F15">
      <w:pPr>
        <w:tabs>
          <w:tab w:val="right" w:leader="dot" w:pos="9923"/>
        </w:tabs>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3.1 Поняття і види фінансових інвестицій</w:t>
      </w:r>
      <w:r>
        <w:rPr>
          <w:rFonts w:ascii="Times New Roman" w:hAnsi="Times New Roman" w:cs="Times New Roman"/>
          <w:sz w:val="28"/>
          <w:szCs w:val="28"/>
          <w:lang w:val="uk-UA"/>
        </w:rPr>
        <w:tab/>
        <w:t>28</w:t>
      </w:r>
    </w:p>
    <w:p w:rsidR="00FC0F15" w:rsidRPr="00FC6C08" w:rsidRDefault="00FC0F15" w:rsidP="00FC0F15">
      <w:pPr>
        <w:tabs>
          <w:tab w:val="right" w:leader="dot" w:pos="9923"/>
        </w:tabs>
        <w:spacing w:after="0" w:line="360" w:lineRule="auto"/>
        <w:ind w:firstLine="709"/>
        <w:contextualSpacing/>
        <w:jc w:val="both"/>
        <w:rPr>
          <w:rFonts w:ascii="Times New Roman" w:hAnsi="Times New Roman" w:cs="Times New Roman"/>
          <w:sz w:val="28"/>
          <w:szCs w:val="28"/>
          <w:lang w:val="uk-UA"/>
        </w:rPr>
      </w:pPr>
      <w:r w:rsidRPr="00C623C6">
        <w:rPr>
          <w:rFonts w:ascii="Times New Roman" w:hAnsi="Times New Roman" w:cs="Times New Roman"/>
          <w:sz w:val="28"/>
          <w:szCs w:val="28"/>
          <w:lang w:val="uk-UA"/>
        </w:rPr>
        <w:t>3.2 Перспективи інвестування у облігації</w:t>
      </w:r>
      <w:r>
        <w:rPr>
          <w:rFonts w:ascii="Times New Roman" w:hAnsi="Times New Roman" w:cs="Times New Roman"/>
          <w:sz w:val="28"/>
          <w:szCs w:val="28"/>
          <w:lang w:val="uk-UA"/>
        </w:rPr>
        <w:tab/>
        <w:t>31</w:t>
      </w:r>
    </w:p>
    <w:p w:rsidR="00FC0F15" w:rsidRPr="00FC6C08" w:rsidRDefault="00FC0F15" w:rsidP="00FC0F15">
      <w:pPr>
        <w:tabs>
          <w:tab w:val="right" w:leader="dot" w:pos="9923"/>
        </w:tabs>
        <w:spacing w:after="0" w:line="360" w:lineRule="auto"/>
        <w:ind w:firstLine="709"/>
        <w:contextualSpacing/>
        <w:jc w:val="both"/>
        <w:rPr>
          <w:rFonts w:ascii="Times New Roman" w:hAnsi="Times New Roman" w:cs="Times New Roman"/>
          <w:sz w:val="28"/>
          <w:szCs w:val="28"/>
          <w:lang w:val="uk-UA"/>
        </w:rPr>
      </w:pPr>
      <w:r w:rsidRPr="00C623C6">
        <w:rPr>
          <w:rFonts w:ascii="Times New Roman" w:hAnsi="Times New Roman" w:cs="Times New Roman"/>
          <w:sz w:val="28"/>
          <w:szCs w:val="28"/>
          <w:lang w:val="uk-UA"/>
        </w:rPr>
        <w:t xml:space="preserve">Висновки </w:t>
      </w:r>
      <w:r>
        <w:rPr>
          <w:rFonts w:ascii="Times New Roman" w:hAnsi="Times New Roman" w:cs="Times New Roman"/>
          <w:sz w:val="28"/>
          <w:szCs w:val="28"/>
          <w:lang w:val="uk-UA"/>
        </w:rPr>
        <w:tab/>
        <w:t>35</w:t>
      </w:r>
    </w:p>
    <w:p w:rsidR="00FC0F15" w:rsidRPr="00FC6C08" w:rsidRDefault="00FC0F15" w:rsidP="00FC0F15">
      <w:pPr>
        <w:tabs>
          <w:tab w:val="right" w:leader="dot" w:pos="9923"/>
        </w:tabs>
        <w:spacing w:after="0" w:line="360" w:lineRule="auto"/>
        <w:ind w:firstLine="709"/>
        <w:contextualSpacing/>
        <w:jc w:val="both"/>
        <w:rPr>
          <w:rFonts w:ascii="Times New Roman" w:hAnsi="Times New Roman" w:cs="Times New Roman"/>
          <w:sz w:val="28"/>
          <w:szCs w:val="28"/>
          <w:lang w:val="uk-UA"/>
        </w:rPr>
      </w:pPr>
      <w:r w:rsidRPr="00C623C6">
        <w:rPr>
          <w:rFonts w:ascii="Times New Roman" w:hAnsi="Times New Roman" w:cs="Times New Roman"/>
          <w:sz w:val="28"/>
          <w:szCs w:val="28"/>
          <w:lang w:val="uk-UA"/>
        </w:rPr>
        <w:t>Список використаних джерел</w:t>
      </w:r>
      <w:r>
        <w:rPr>
          <w:rFonts w:ascii="Times New Roman" w:hAnsi="Times New Roman" w:cs="Times New Roman"/>
          <w:sz w:val="28"/>
          <w:szCs w:val="28"/>
          <w:lang w:val="uk-UA"/>
        </w:rPr>
        <w:tab/>
        <w:t>37</w:t>
      </w:r>
    </w:p>
    <w:p w:rsidR="00FC0F15" w:rsidRDefault="00FC0F15" w:rsidP="00FC0F15"/>
    <w:p w:rsidR="003737B5" w:rsidRDefault="003737B5" w:rsidP="00525653">
      <w:pPr>
        <w:spacing w:after="0" w:line="360" w:lineRule="auto"/>
        <w:ind w:firstLine="709"/>
        <w:contextualSpacing/>
        <w:jc w:val="both"/>
        <w:rPr>
          <w:rFonts w:ascii="Times New Roman" w:hAnsi="Times New Roman" w:cs="Times New Roman"/>
          <w:sz w:val="28"/>
          <w:szCs w:val="28"/>
          <w:lang w:val="uk-UA"/>
        </w:rPr>
      </w:pPr>
    </w:p>
    <w:p w:rsidR="003737B5" w:rsidRDefault="003737B5" w:rsidP="00525653">
      <w:pPr>
        <w:spacing w:after="0" w:line="360" w:lineRule="auto"/>
        <w:ind w:firstLine="709"/>
        <w:contextualSpacing/>
        <w:jc w:val="both"/>
        <w:rPr>
          <w:rFonts w:ascii="Times New Roman" w:hAnsi="Times New Roman" w:cs="Times New Roman"/>
          <w:sz w:val="28"/>
          <w:szCs w:val="28"/>
          <w:lang w:val="uk-UA"/>
        </w:rPr>
      </w:pPr>
    </w:p>
    <w:p w:rsidR="003737B5" w:rsidRDefault="003737B5" w:rsidP="00525653">
      <w:pPr>
        <w:spacing w:after="0" w:line="360" w:lineRule="auto"/>
        <w:ind w:firstLine="709"/>
        <w:contextualSpacing/>
        <w:jc w:val="both"/>
        <w:rPr>
          <w:rFonts w:ascii="Times New Roman" w:hAnsi="Times New Roman" w:cs="Times New Roman"/>
          <w:sz w:val="28"/>
          <w:szCs w:val="28"/>
          <w:lang w:val="uk-UA"/>
        </w:rPr>
      </w:pPr>
    </w:p>
    <w:p w:rsidR="003737B5" w:rsidRDefault="003737B5" w:rsidP="00525653">
      <w:pPr>
        <w:spacing w:after="0" w:line="360" w:lineRule="auto"/>
        <w:ind w:firstLine="709"/>
        <w:contextualSpacing/>
        <w:jc w:val="both"/>
        <w:rPr>
          <w:rFonts w:ascii="Times New Roman" w:hAnsi="Times New Roman" w:cs="Times New Roman"/>
          <w:sz w:val="28"/>
          <w:szCs w:val="28"/>
          <w:lang w:val="uk-UA"/>
        </w:rPr>
      </w:pPr>
    </w:p>
    <w:p w:rsidR="003737B5" w:rsidRDefault="003737B5" w:rsidP="00525653">
      <w:pPr>
        <w:spacing w:after="0" w:line="360" w:lineRule="auto"/>
        <w:ind w:firstLine="709"/>
        <w:contextualSpacing/>
        <w:jc w:val="both"/>
        <w:rPr>
          <w:rFonts w:ascii="Times New Roman" w:hAnsi="Times New Roman" w:cs="Times New Roman"/>
          <w:sz w:val="28"/>
          <w:szCs w:val="28"/>
          <w:lang w:val="uk-UA"/>
        </w:rPr>
      </w:pPr>
    </w:p>
    <w:p w:rsidR="003737B5" w:rsidRDefault="003737B5" w:rsidP="00525653">
      <w:pPr>
        <w:spacing w:after="0" w:line="360" w:lineRule="auto"/>
        <w:ind w:firstLine="709"/>
        <w:contextualSpacing/>
        <w:jc w:val="both"/>
        <w:rPr>
          <w:rFonts w:ascii="Times New Roman" w:hAnsi="Times New Roman" w:cs="Times New Roman"/>
          <w:sz w:val="28"/>
          <w:szCs w:val="28"/>
          <w:lang w:val="uk-UA"/>
        </w:rPr>
      </w:pPr>
    </w:p>
    <w:p w:rsidR="003737B5" w:rsidRDefault="003737B5" w:rsidP="00525653">
      <w:pPr>
        <w:spacing w:after="0" w:line="360" w:lineRule="auto"/>
        <w:ind w:firstLine="709"/>
        <w:contextualSpacing/>
        <w:jc w:val="both"/>
        <w:rPr>
          <w:rFonts w:ascii="Times New Roman" w:hAnsi="Times New Roman" w:cs="Times New Roman"/>
          <w:sz w:val="28"/>
          <w:szCs w:val="28"/>
          <w:lang w:val="uk-UA"/>
        </w:rPr>
      </w:pPr>
    </w:p>
    <w:p w:rsidR="003737B5" w:rsidRPr="003737B5" w:rsidRDefault="003737B5" w:rsidP="00525653">
      <w:pPr>
        <w:spacing w:after="0" w:line="360" w:lineRule="auto"/>
        <w:ind w:firstLine="709"/>
        <w:contextualSpacing/>
        <w:jc w:val="both"/>
        <w:rPr>
          <w:rFonts w:ascii="Times New Roman" w:hAnsi="Times New Roman" w:cs="Times New Roman"/>
          <w:sz w:val="28"/>
          <w:szCs w:val="28"/>
          <w:lang w:val="uk-UA"/>
        </w:rPr>
      </w:pPr>
    </w:p>
    <w:p w:rsidR="00E4149F" w:rsidRPr="00E4149F" w:rsidRDefault="00E4149F" w:rsidP="00525653">
      <w:pPr>
        <w:spacing w:after="0" w:line="360" w:lineRule="auto"/>
        <w:ind w:firstLine="709"/>
        <w:contextualSpacing/>
        <w:jc w:val="center"/>
        <w:rPr>
          <w:rFonts w:ascii="Times New Roman" w:hAnsi="Times New Roman" w:cs="Times New Roman"/>
          <w:sz w:val="28"/>
          <w:szCs w:val="28"/>
          <w:lang w:val="uk-UA"/>
        </w:rPr>
      </w:pPr>
    </w:p>
    <w:p w:rsidR="00A26F34" w:rsidRDefault="00A26F34" w:rsidP="00525653">
      <w:pPr>
        <w:spacing w:after="0" w:line="360" w:lineRule="auto"/>
        <w:ind w:firstLine="709"/>
        <w:contextualSpacing/>
        <w:jc w:val="both"/>
        <w:rPr>
          <w:rFonts w:ascii="Times New Roman" w:hAnsi="Times New Roman" w:cs="Times New Roman"/>
          <w:sz w:val="28"/>
          <w:szCs w:val="28"/>
          <w:lang w:val="uk-UA"/>
        </w:rPr>
      </w:pPr>
    </w:p>
    <w:p w:rsidR="00C623C6" w:rsidRDefault="00C623C6" w:rsidP="00FC0F15">
      <w:pPr>
        <w:spacing w:after="0" w:line="360" w:lineRule="auto"/>
        <w:contextualSpacing/>
        <w:rPr>
          <w:rFonts w:ascii="Times New Roman" w:hAnsi="Times New Roman" w:cs="Times New Roman"/>
          <w:b/>
          <w:sz w:val="28"/>
          <w:szCs w:val="28"/>
          <w:lang w:val="uk-UA"/>
        </w:rPr>
      </w:pPr>
    </w:p>
    <w:p w:rsidR="003658F7" w:rsidRDefault="003658F7">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B14103" w:rsidRPr="00E4149F" w:rsidRDefault="00E4149F" w:rsidP="00525653">
      <w:pPr>
        <w:spacing w:after="0" w:line="360" w:lineRule="auto"/>
        <w:ind w:firstLine="709"/>
        <w:contextualSpacing/>
        <w:jc w:val="center"/>
        <w:rPr>
          <w:rFonts w:ascii="Times New Roman" w:hAnsi="Times New Roman" w:cs="Times New Roman"/>
          <w:b/>
          <w:sz w:val="28"/>
          <w:szCs w:val="28"/>
          <w:lang w:val="uk-UA"/>
        </w:rPr>
      </w:pPr>
      <w:r w:rsidRPr="00E4149F">
        <w:rPr>
          <w:rFonts w:ascii="Times New Roman" w:hAnsi="Times New Roman" w:cs="Times New Roman"/>
          <w:b/>
          <w:sz w:val="28"/>
          <w:szCs w:val="28"/>
          <w:lang w:val="uk-UA"/>
        </w:rPr>
        <w:lastRenderedPageBreak/>
        <w:t>ВСТУП</w:t>
      </w:r>
    </w:p>
    <w:p w:rsidR="00E4149F" w:rsidRPr="00E4149F" w:rsidRDefault="00E4149F" w:rsidP="00525653">
      <w:pPr>
        <w:spacing w:after="0" w:line="360" w:lineRule="auto"/>
        <w:ind w:firstLine="709"/>
        <w:contextualSpacing/>
        <w:jc w:val="center"/>
        <w:rPr>
          <w:rFonts w:ascii="Times New Roman" w:hAnsi="Times New Roman" w:cs="Times New Roman"/>
          <w:b/>
          <w:sz w:val="28"/>
          <w:szCs w:val="28"/>
          <w:lang w:val="uk-UA"/>
        </w:rPr>
      </w:pPr>
    </w:p>
    <w:p w:rsidR="00B14103" w:rsidRPr="00E4149F" w:rsidRDefault="00B14103" w:rsidP="00525653">
      <w:pPr>
        <w:spacing w:after="0" w:line="360" w:lineRule="auto"/>
        <w:ind w:firstLine="709"/>
        <w:contextualSpacing/>
        <w:jc w:val="both"/>
        <w:rPr>
          <w:rFonts w:ascii="Times New Roman" w:hAnsi="Times New Roman" w:cs="Times New Roman"/>
          <w:sz w:val="28"/>
          <w:szCs w:val="28"/>
        </w:rPr>
      </w:pPr>
      <w:r w:rsidRPr="00C623C6">
        <w:rPr>
          <w:rFonts w:ascii="Times New Roman" w:hAnsi="Times New Roman" w:cs="Times New Roman"/>
          <w:sz w:val="28"/>
          <w:szCs w:val="28"/>
          <w:lang w:val="uk-UA"/>
        </w:rPr>
        <w:t xml:space="preserve">Одним із основних завдань кожної держави на всіх етапах її розвитку </w:t>
      </w:r>
      <w:r w:rsidRPr="00E4149F">
        <w:rPr>
          <w:rFonts w:ascii="Times New Roman" w:hAnsi="Times New Roman" w:cs="Times New Roman"/>
          <w:sz w:val="28"/>
          <w:szCs w:val="28"/>
        </w:rPr>
        <w:t>є досягнення стабільного економічного зростання. Одним із основних джерел фінансування соціально-економічного рівня країни є  інвестування, яке здійснюється безпосередньо через застосування фінансових інструментів ринку цінних паперів.</w:t>
      </w:r>
    </w:p>
    <w:p w:rsidR="00B14103" w:rsidRPr="00E4149F" w:rsidRDefault="00B14103" w:rsidP="00525653">
      <w:pPr>
        <w:spacing w:after="0" w:line="360" w:lineRule="auto"/>
        <w:ind w:firstLine="709"/>
        <w:contextualSpacing/>
        <w:jc w:val="both"/>
        <w:rPr>
          <w:rFonts w:ascii="Times New Roman" w:hAnsi="Times New Roman" w:cs="Times New Roman"/>
          <w:sz w:val="28"/>
          <w:szCs w:val="28"/>
        </w:rPr>
      </w:pPr>
      <w:r w:rsidRPr="00E4149F">
        <w:rPr>
          <w:rFonts w:ascii="Times New Roman" w:hAnsi="Times New Roman" w:cs="Times New Roman"/>
          <w:sz w:val="28"/>
          <w:szCs w:val="28"/>
        </w:rPr>
        <w:t>Наразі однією з основних проблем сучасної теорії інвестицій є неефективне формування і управління портфелем цінних паперів.</w:t>
      </w:r>
    </w:p>
    <w:p w:rsidR="00B14103" w:rsidRPr="00E4149F" w:rsidRDefault="00B14103" w:rsidP="00525653">
      <w:pPr>
        <w:spacing w:after="0" w:line="360" w:lineRule="auto"/>
        <w:ind w:firstLine="709"/>
        <w:contextualSpacing/>
        <w:jc w:val="both"/>
        <w:rPr>
          <w:rFonts w:ascii="Times New Roman" w:hAnsi="Times New Roman" w:cs="Times New Roman"/>
          <w:sz w:val="28"/>
          <w:szCs w:val="28"/>
        </w:rPr>
      </w:pPr>
      <w:r w:rsidRPr="00E4149F">
        <w:rPr>
          <w:rFonts w:ascii="Times New Roman" w:hAnsi="Times New Roman" w:cs="Times New Roman"/>
          <w:sz w:val="28"/>
          <w:szCs w:val="28"/>
        </w:rPr>
        <w:t>При кожному здійсненні вкладу в цінні папери інвестори, ризикуючи, прагнуть до максимізації доходу. Тож, головне їх завдання полягає у знаходженні найбільш оптимального поєднання цих двох факторів.  </w:t>
      </w:r>
    </w:p>
    <w:p w:rsidR="00B14103" w:rsidRPr="00E4149F" w:rsidRDefault="00B14103" w:rsidP="00525653">
      <w:pPr>
        <w:spacing w:after="0" w:line="360" w:lineRule="auto"/>
        <w:ind w:firstLine="709"/>
        <w:contextualSpacing/>
        <w:jc w:val="both"/>
        <w:rPr>
          <w:rFonts w:ascii="Times New Roman" w:hAnsi="Times New Roman" w:cs="Times New Roman"/>
          <w:sz w:val="28"/>
          <w:szCs w:val="28"/>
        </w:rPr>
      </w:pPr>
      <w:r w:rsidRPr="00E4149F">
        <w:rPr>
          <w:rFonts w:ascii="Times New Roman" w:hAnsi="Times New Roman" w:cs="Times New Roman"/>
          <w:sz w:val="28"/>
          <w:szCs w:val="28"/>
        </w:rPr>
        <w:t>На сучасному етапі інвестиції являють собою необхідний інструмент виходу України з хронічного кризовог</w:t>
      </w:r>
      <w:r w:rsidR="00E4149F" w:rsidRPr="00E4149F">
        <w:rPr>
          <w:rFonts w:ascii="Times New Roman" w:hAnsi="Times New Roman" w:cs="Times New Roman"/>
          <w:sz w:val="28"/>
          <w:szCs w:val="28"/>
        </w:rPr>
        <w:t xml:space="preserve">о стану, впровадження важливих </w:t>
      </w:r>
      <w:r w:rsidRPr="00E4149F">
        <w:rPr>
          <w:rFonts w:ascii="Times New Roman" w:hAnsi="Times New Roman" w:cs="Times New Roman"/>
          <w:sz w:val="28"/>
          <w:szCs w:val="28"/>
        </w:rPr>
        <w:t>технологічних змін, активізації структурних зрушень у вітчизняному виробництві країни та збільшення показників господарчої діяльності на мікро- і макро- рівнях.</w:t>
      </w:r>
    </w:p>
    <w:p w:rsidR="00B14103" w:rsidRPr="00E4149F" w:rsidRDefault="00B14103" w:rsidP="00525653">
      <w:pPr>
        <w:spacing w:after="0" w:line="360" w:lineRule="auto"/>
        <w:ind w:firstLine="709"/>
        <w:contextualSpacing/>
        <w:jc w:val="both"/>
        <w:rPr>
          <w:rFonts w:ascii="Times New Roman" w:hAnsi="Times New Roman" w:cs="Times New Roman"/>
          <w:sz w:val="28"/>
          <w:szCs w:val="28"/>
        </w:rPr>
      </w:pPr>
      <w:r w:rsidRPr="00E4149F">
        <w:rPr>
          <w:rFonts w:ascii="Times New Roman" w:hAnsi="Times New Roman" w:cs="Times New Roman"/>
          <w:sz w:val="28"/>
          <w:szCs w:val="28"/>
        </w:rPr>
        <w:t>Ринок цінних паперів та його ефективність напряму залежить від багатьох факторів: інвестиційного, фінансового та інших ринків, економічної ситуації, роботи емітентів тощо.</w:t>
      </w:r>
    </w:p>
    <w:p w:rsidR="00E4149F" w:rsidRPr="00E4149F" w:rsidRDefault="00B14103" w:rsidP="00525653">
      <w:pPr>
        <w:spacing w:after="0" w:line="360" w:lineRule="auto"/>
        <w:ind w:firstLine="709"/>
        <w:contextualSpacing/>
        <w:jc w:val="both"/>
        <w:rPr>
          <w:rFonts w:ascii="Times New Roman" w:hAnsi="Times New Roman" w:cs="Times New Roman"/>
          <w:sz w:val="28"/>
          <w:szCs w:val="28"/>
          <w:lang w:val="uk-UA"/>
        </w:rPr>
      </w:pPr>
      <w:r w:rsidRPr="00E4149F">
        <w:rPr>
          <w:rFonts w:ascii="Times New Roman" w:hAnsi="Times New Roman" w:cs="Times New Roman"/>
          <w:sz w:val="28"/>
          <w:szCs w:val="28"/>
        </w:rPr>
        <w:t xml:space="preserve">Метою даної роботи є всебічний огляд фінансового інвестування в Україні та світі на прикладі таких цінних паперів як облігації. По-перше, буде розкрито поняття облігації, їх сутність, види, теоретичні основи формування та управління портфелем облігацій. По-друге, буде проведено аналіз використання облігацій у світовій практиці та застосування їх в Україні за проблем, які виникають при цьому, а також представлені перспективи від застосування інвестицій у вітчизняні облігації. </w:t>
      </w:r>
    </w:p>
    <w:p w:rsidR="00B14103" w:rsidRPr="00E4149F" w:rsidRDefault="00B14103" w:rsidP="00525653">
      <w:pPr>
        <w:spacing w:after="0" w:line="360" w:lineRule="auto"/>
        <w:ind w:firstLine="709"/>
        <w:contextualSpacing/>
        <w:jc w:val="both"/>
        <w:rPr>
          <w:rFonts w:ascii="Times New Roman" w:hAnsi="Times New Roman" w:cs="Times New Roman"/>
          <w:sz w:val="28"/>
          <w:szCs w:val="28"/>
        </w:rPr>
      </w:pPr>
      <w:r w:rsidRPr="00E4149F">
        <w:rPr>
          <w:rFonts w:ascii="Times New Roman" w:hAnsi="Times New Roman" w:cs="Times New Roman"/>
          <w:sz w:val="28"/>
          <w:szCs w:val="28"/>
        </w:rPr>
        <w:t>Актуальність вивчення фінансового інвестування зумовила вибір даної теми курсової роботи. В умовах ринкової економіки особливо важливими є знання сутності, функцій, видів та інструментів фінансового інвестування, а також механізму його дій для більш правильної орієнтації в існуючій ситуації в країні.</w:t>
      </w:r>
    </w:p>
    <w:p w:rsidR="00B14103" w:rsidRPr="00E4149F" w:rsidRDefault="00B14103" w:rsidP="00525653">
      <w:pPr>
        <w:spacing w:after="0" w:line="360" w:lineRule="auto"/>
        <w:ind w:firstLine="709"/>
        <w:contextualSpacing/>
        <w:jc w:val="both"/>
        <w:rPr>
          <w:rFonts w:ascii="Times New Roman" w:hAnsi="Times New Roman" w:cs="Times New Roman"/>
          <w:sz w:val="28"/>
          <w:szCs w:val="28"/>
        </w:rPr>
      </w:pPr>
      <w:r w:rsidRPr="00E4149F">
        <w:rPr>
          <w:rFonts w:ascii="Times New Roman" w:hAnsi="Times New Roman" w:cs="Times New Roman"/>
          <w:sz w:val="28"/>
          <w:szCs w:val="28"/>
        </w:rPr>
        <w:lastRenderedPageBreak/>
        <w:t>Основними завданнями даної курсової роботи є вивчення:</w:t>
      </w:r>
    </w:p>
    <w:p w:rsidR="00803B45" w:rsidRPr="00C06051" w:rsidRDefault="00B14103" w:rsidP="00C06051">
      <w:pPr>
        <w:pStyle w:val="a6"/>
        <w:numPr>
          <w:ilvl w:val="0"/>
          <w:numId w:val="22"/>
        </w:numPr>
        <w:tabs>
          <w:tab w:val="left" w:pos="1134"/>
        </w:tabs>
        <w:spacing w:after="0" w:line="360" w:lineRule="auto"/>
        <w:ind w:left="0" w:firstLine="709"/>
        <w:jc w:val="both"/>
        <w:rPr>
          <w:rFonts w:ascii="Times New Roman" w:hAnsi="Times New Roman" w:cs="Times New Roman"/>
          <w:sz w:val="28"/>
          <w:szCs w:val="28"/>
        </w:rPr>
      </w:pPr>
      <w:r w:rsidRPr="00C06051">
        <w:rPr>
          <w:rFonts w:ascii="Times New Roman" w:hAnsi="Times New Roman" w:cs="Times New Roman"/>
          <w:sz w:val="28"/>
          <w:szCs w:val="28"/>
        </w:rPr>
        <w:t>сутнісної характеристики облігацій;</w:t>
      </w:r>
    </w:p>
    <w:p w:rsidR="00B14103" w:rsidRPr="00C06051" w:rsidRDefault="00B14103" w:rsidP="00C06051">
      <w:pPr>
        <w:pStyle w:val="a6"/>
        <w:numPr>
          <w:ilvl w:val="0"/>
          <w:numId w:val="22"/>
        </w:numPr>
        <w:tabs>
          <w:tab w:val="left" w:pos="1134"/>
        </w:tabs>
        <w:spacing w:after="0" w:line="360" w:lineRule="auto"/>
        <w:ind w:left="0" w:firstLine="709"/>
        <w:jc w:val="both"/>
        <w:rPr>
          <w:rFonts w:ascii="Times New Roman" w:hAnsi="Times New Roman" w:cs="Times New Roman"/>
          <w:sz w:val="28"/>
          <w:szCs w:val="28"/>
        </w:rPr>
      </w:pPr>
      <w:r w:rsidRPr="00C06051">
        <w:rPr>
          <w:rFonts w:ascii="Times New Roman" w:hAnsi="Times New Roman" w:cs="Times New Roman"/>
          <w:sz w:val="28"/>
          <w:szCs w:val="28"/>
        </w:rPr>
        <w:t>видів облігацій;</w:t>
      </w:r>
    </w:p>
    <w:p w:rsidR="00B14103" w:rsidRPr="00C06051" w:rsidRDefault="00B14103" w:rsidP="00C06051">
      <w:pPr>
        <w:pStyle w:val="a6"/>
        <w:numPr>
          <w:ilvl w:val="0"/>
          <w:numId w:val="22"/>
        </w:numPr>
        <w:tabs>
          <w:tab w:val="left" w:pos="1134"/>
        </w:tabs>
        <w:spacing w:after="0" w:line="360" w:lineRule="auto"/>
        <w:ind w:left="0" w:firstLine="709"/>
        <w:jc w:val="both"/>
        <w:rPr>
          <w:rFonts w:ascii="Times New Roman" w:hAnsi="Times New Roman" w:cs="Times New Roman"/>
          <w:sz w:val="28"/>
          <w:szCs w:val="28"/>
        </w:rPr>
      </w:pPr>
      <w:r w:rsidRPr="00C06051">
        <w:rPr>
          <w:rFonts w:ascii="Times New Roman" w:hAnsi="Times New Roman" w:cs="Times New Roman"/>
          <w:sz w:val="28"/>
          <w:szCs w:val="28"/>
        </w:rPr>
        <w:t>роль облігацій на сучасному етапі.</w:t>
      </w:r>
    </w:p>
    <w:p w:rsidR="004C6488" w:rsidRPr="00C06051" w:rsidRDefault="004C6488" w:rsidP="00525653">
      <w:pPr>
        <w:spacing w:after="0" w:line="360" w:lineRule="auto"/>
        <w:ind w:firstLine="709"/>
        <w:contextualSpacing/>
        <w:jc w:val="both"/>
        <w:rPr>
          <w:rFonts w:ascii="Times New Roman" w:hAnsi="Times New Roman" w:cs="Times New Roman"/>
          <w:sz w:val="28"/>
          <w:szCs w:val="28"/>
          <w:lang w:val="uk-UA"/>
        </w:rPr>
      </w:pPr>
      <w:r w:rsidRPr="004C6488">
        <w:rPr>
          <w:rFonts w:ascii="Times New Roman" w:hAnsi="Times New Roman" w:cs="Times New Roman"/>
          <w:sz w:val="28"/>
          <w:szCs w:val="28"/>
        </w:rPr>
        <w:t xml:space="preserve">Методи дослідження. У процесі дослідження та реалізації вищезазначених завдань використано системний аналіз наукового пізнання, аналізу і синтезу, індукції та дедукції; метод порівняльного аналізу; застосовано загальнонауковий та аналітичний методи, що забезпечило ґрунтовне вивчення правового регулювання інвестиційної діяльності </w:t>
      </w:r>
      <w:r w:rsidR="00C06051">
        <w:rPr>
          <w:rFonts w:ascii="Times New Roman" w:hAnsi="Times New Roman" w:cs="Times New Roman"/>
          <w:sz w:val="28"/>
          <w:szCs w:val="28"/>
          <w:lang w:val="uk-UA"/>
        </w:rPr>
        <w:t>та ринку цінних паперів.</w:t>
      </w:r>
    </w:p>
    <w:p w:rsidR="004C6488" w:rsidRDefault="004C6488" w:rsidP="00525653">
      <w:pPr>
        <w:spacing w:after="0" w:line="360" w:lineRule="auto"/>
        <w:ind w:firstLine="709"/>
        <w:contextualSpacing/>
        <w:jc w:val="both"/>
        <w:rPr>
          <w:rFonts w:ascii="Times New Roman" w:hAnsi="Times New Roman" w:cs="Times New Roman"/>
          <w:sz w:val="28"/>
          <w:szCs w:val="28"/>
        </w:rPr>
      </w:pPr>
      <w:r w:rsidRPr="004C6488">
        <w:rPr>
          <w:rFonts w:ascii="Times New Roman" w:hAnsi="Times New Roman" w:cs="Times New Roman"/>
          <w:sz w:val="28"/>
          <w:szCs w:val="28"/>
        </w:rPr>
        <w:t xml:space="preserve">У зв’язку з актуальністю стан розробки проблеми активно розвивається. Теоретичним підґрунтям </w:t>
      </w:r>
      <w:r w:rsidR="00C06051">
        <w:rPr>
          <w:rFonts w:ascii="Times New Roman" w:hAnsi="Times New Roman" w:cs="Times New Roman"/>
          <w:sz w:val="28"/>
          <w:szCs w:val="28"/>
          <w:lang w:val="uk-UA"/>
        </w:rPr>
        <w:t>курсової роботи</w:t>
      </w:r>
      <w:r w:rsidRPr="004C6488">
        <w:rPr>
          <w:rFonts w:ascii="Times New Roman" w:hAnsi="Times New Roman" w:cs="Times New Roman"/>
          <w:sz w:val="28"/>
          <w:szCs w:val="28"/>
        </w:rPr>
        <w:t xml:space="preserve"> слугували наукові праці </w:t>
      </w:r>
      <w:r w:rsidR="00491FFD">
        <w:rPr>
          <w:rFonts w:ascii="Times New Roman" w:hAnsi="Times New Roman" w:cs="Times New Roman"/>
          <w:sz w:val="28"/>
          <w:szCs w:val="28"/>
          <w:lang w:val="uk-UA"/>
        </w:rPr>
        <w:t xml:space="preserve">таких </w:t>
      </w:r>
      <w:r w:rsidRPr="004C6488">
        <w:rPr>
          <w:rFonts w:ascii="Times New Roman" w:hAnsi="Times New Roman" w:cs="Times New Roman"/>
          <w:sz w:val="28"/>
          <w:szCs w:val="28"/>
        </w:rPr>
        <w:t xml:space="preserve">вітчизняних учених-правників </w:t>
      </w:r>
      <w:r w:rsidR="00491FFD">
        <w:rPr>
          <w:rFonts w:ascii="Times New Roman" w:hAnsi="Times New Roman" w:cs="Times New Roman"/>
          <w:sz w:val="28"/>
          <w:szCs w:val="28"/>
          <w:lang w:val="uk-UA"/>
        </w:rPr>
        <w:t>І. В. Білоус</w:t>
      </w:r>
      <w:r w:rsidRPr="004C6488">
        <w:rPr>
          <w:rFonts w:ascii="Times New Roman" w:hAnsi="Times New Roman" w:cs="Times New Roman"/>
          <w:sz w:val="28"/>
          <w:szCs w:val="28"/>
        </w:rPr>
        <w:t xml:space="preserve"> [2], </w:t>
      </w:r>
      <w:r w:rsidR="00491FFD">
        <w:rPr>
          <w:rFonts w:ascii="Times New Roman" w:hAnsi="Times New Roman" w:cs="Times New Roman"/>
          <w:sz w:val="28"/>
          <w:szCs w:val="28"/>
          <w:lang w:val="uk-UA"/>
        </w:rPr>
        <w:t>А. А. Вальчишен</w:t>
      </w:r>
      <w:r w:rsidRPr="004C6488">
        <w:rPr>
          <w:rFonts w:ascii="Times New Roman" w:hAnsi="Times New Roman" w:cs="Times New Roman"/>
          <w:sz w:val="28"/>
          <w:szCs w:val="28"/>
        </w:rPr>
        <w:t xml:space="preserve"> [3] </w:t>
      </w:r>
      <w:r w:rsidR="00491FFD">
        <w:rPr>
          <w:rFonts w:ascii="Times New Roman" w:hAnsi="Times New Roman" w:cs="Times New Roman"/>
          <w:sz w:val="28"/>
          <w:szCs w:val="28"/>
          <w:lang w:val="uk-UA"/>
        </w:rPr>
        <w:t>З.Г. Ватаманюк</w:t>
      </w:r>
      <w:r w:rsidRPr="004C6488">
        <w:rPr>
          <w:rFonts w:ascii="Times New Roman" w:hAnsi="Times New Roman" w:cs="Times New Roman"/>
          <w:sz w:val="28"/>
          <w:szCs w:val="28"/>
        </w:rPr>
        <w:t xml:space="preserve"> [</w:t>
      </w:r>
      <w:r w:rsidR="00491FFD">
        <w:rPr>
          <w:rFonts w:ascii="Times New Roman" w:hAnsi="Times New Roman" w:cs="Times New Roman"/>
          <w:sz w:val="28"/>
          <w:szCs w:val="28"/>
          <w:lang w:val="uk-UA"/>
        </w:rPr>
        <w:t>4</w:t>
      </w:r>
      <w:r w:rsidRPr="004C6488">
        <w:rPr>
          <w:rFonts w:ascii="Times New Roman" w:hAnsi="Times New Roman" w:cs="Times New Roman"/>
          <w:sz w:val="28"/>
          <w:szCs w:val="28"/>
        </w:rPr>
        <w:t xml:space="preserve">], </w:t>
      </w:r>
      <w:r w:rsidR="00491FFD">
        <w:rPr>
          <w:rFonts w:ascii="Times New Roman" w:hAnsi="Times New Roman" w:cs="Times New Roman"/>
          <w:sz w:val="28"/>
          <w:szCs w:val="28"/>
          <w:lang w:val="uk-UA"/>
        </w:rPr>
        <w:t>Г. М. Калач</w:t>
      </w:r>
      <w:r w:rsidR="00491FFD">
        <w:rPr>
          <w:rFonts w:ascii="Times New Roman" w:hAnsi="Times New Roman" w:cs="Times New Roman"/>
          <w:sz w:val="28"/>
          <w:szCs w:val="28"/>
        </w:rPr>
        <w:t xml:space="preserve"> [</w:t>
      </w:r>
      <w:r w:rsidR="00491FFD">
        <w:rPr>
          <w:rFonts w:ascii="Times New Roman" w:hAnsi="Times New Roman" w:cs="Times New Roman"/>
          <w:sz w:val="28"/>
          <w:szCs w:val="28"/>
          <w:lang w:val="uk-UA"/>
        </w:rPr>
        <w:t>9</w:t>
      </w:r>
      <w:r w:rsidRPr="004C6488">
        <w:rPr>
          <w:rFonts w:ascii="Times New Roman" w:hAnsi="Times New Roman" w:cs="Times New Roman"/>
          <w:sz w:val="28"/>
          <w:szCs w:val="28"/>
        </w:rPr>
        <w:t xml:space="preserve">], </w:t>
      </w:r>
      <w:r w:rsidR="00E62039">
        <w:rPr>
          <w:rFonts w:ascii="Times New Roman" w:hAnsi="Times New Roman" w:cs="Times New Roman"/>
          <w:sz w:val="28"/>
          <w:szCs w:val="28"/>
          <w:lang w:val="uk-UA"/>
        </w:rPr>
        <w:t xml:space="preserve">О. Є. Кузьмін </w:t>
      </w:r>
      <w:r w:rsidRPr="004C6488">
        <w:rPr>
          <w:rFonts w:ascii="Times New Roman" w:hAnsi="Times New Roman" w:cs="Times New Roman"/>
          <w:sz w:val="28"/>
          <w:szCs w:val="28"/>
        </w:rPr>
        <w:t>[1</w:t>
      </w:r>
      <w:r w:rsidR="00E62039">
        <w:rPr>
          <w:rFonts w:ascii="Times New Roman" w:hAnsi="Times New Roman" w:cs="Times New Roman"/>
          <w:sz w:val="28"/>
          <w:szCs w:val="28"/>
          <w:lang w:val="uk-UA"/>
        </w:rPr>
        <w:t>1</w:t>
      </w:r>
      <w:r w:rsidRPr="004C6488">
        <w:rPr>
          <w:rFonts w:ascii="Times New Roman" w:hAnsi="Times New Roman" w:cs="Times New Roman"/>
          <w:sz w:val="28"/>
          <w:szCs w:val="28"/>
        </w:rPr>
        <w:t xml:space="preserve">], </w:t>
      </w:r>
      <w:r w:rsidR="00E62039">
        <w:rPr>
          <w:rFonts w:ascii="Times New Roman" w:hAnsi="Times New Roman" w:cs="Times New Roman"/>
          <w:sz w:val="28"/>
          <w:szCs w:val="28"/>
          <w:lang w:val="uk-UA"/>
        </w:rPr>
        <w:t>Т. В. Нічосова</w:t>
      </w:r>
      <w:r w:rsidRPr="004C6488">
        <w:rPr>
          <w:rFonts w:ascii="Times New Roman" w:hAnsi="Times New Roman" w:cs="Times New Roman"/>
          <w:sz w:val="28"/>
          <w:szCs w:val="28"/>
        </w:rPr>
        <w:t xml:space="preserve"> [1</w:t>
      </w:r>
      <w:r w:rsidR="00E62039">
        <w:rPr>
          <w:rFonts w:ascii="Times New Roman" w:hAnsi="Times New Roman" w:cs="Times New Roman"/>
          <w:sz w:val="28"/>
          <w:szCs w:val="28"/>
          <w:lang w:val="uk-UA"/>
        </w:rPr>
        <w:t>4</w:t>
      </w:r>
      <w:r w:rsidRPr="004C6488">
        <w:rPr>
          <w:rFonts w:ascii="Times New Roman" w:hAnsi="Times New Roman" w:cs="Times New Roman"/>
          <w:sz w:val="28"/>
          <w:szCs w:val="28"/>
        </w:rPr>
        <w:t xml:space="preserve">], </w:t>
      </w:r>
      <w:r w:rsidR="00E62039">
        <w:rPr>
          <w:rFonts w:ascii="Times New Roman" w:hAnsi="Times New Roman" w:cs="Times New Roman"/>
          <w:sz w:val="28"/>
          <w:szCs w:val="28"/>
          <w:lang w:val="uk-UA"/>
        </w:rPr>
        <w:t>Г. К Черніков</w:t>
      </w:r>
      <w:r w:rsidRPr="004C6488">
        <w:rPr>
          <w:rFonts w:ascii="Times New Roman" w:hAnsi="Times New Roman" w:cs="Times New Roman"/>
          <w:sz w:val="28"/>
          <w:szCs w:val="28"/>
        </w:rPr>
        <w:t xml:space="preserve"> [</w:t>
      </w:r>
      <w:r w:rsidR="00E62039">
        <w:rPr>
          <w:rFonts w:ascii="Times New Roman" w:hAnsi="Times New Roman" w:cs="Times New Roman"/>
          <w:sz w:val="28"/>
          <w:szCs w:val="28"/>
          <w:lang w:val="uk-UA"/>
        </w:rPr>
        <w:t>24</w:t>
      </w:r>
      <w:r w:rsidRPr="004C6488">
        <w:rPr>
          <w:rFonts w:ascii="Times New Roman" w:hAnsi="Times New Roman" w:cs="Times New Roman"/>
          <w:sz w:val="28"/>
          <w:szCs w:val="28"/>
        </w:rPr>
        <w:t xml:space="preserve">], </w:t>
      </w:r>
      <w:r w:rsidR="00E62039">
        <w:rPr>
          <w:rFonts w:ascii="Times New Roman" w:hAnsi="Times New Roman" w:cs="Times New Roman"/>
          <w:sz w:val="28"/>
          <w:szCs w:val="28"/>
          <w:lang w:val="uk-UA"/>
        </w:rPr>
        <w:t>В. І. Шапран</w:t>
      </w:r>
      <w:r w:rsidRPr="004C6488">
        <w:rPr>
          <w:rFonts w:ascii="Times New Roman" w:hAnsi="Times New Roman" w:cs="Times New Roman"/>
          <w:sz w:val="28"/>
          <w:szCs w:val="28"/>
        </w:rPr>
        <w:t xml:space="preserve"> [</w:t>
      </w:r>
      <w:r w:rsidR="00E62039">
        <w:rPr>
          <w:rFonts w:ascii="Times New Roman" w:hAnsi="Times New Roman" w:cs="Times New Roman"/>
          <w:sz w:val="28"/>
          <w:szCs w:val="28"/>
          <w:lang w:val="uk-UA"/>
        </w:rPr>
        <w:t>25</w:t>
      </w:r>
      <w:r w:rsidRPr="004C6488">
        <w:rPr>
          <w:rFonts w:ascii="Times New Roman" w:hAnsi="Times New Roman" w:cs="Times New Roman"/>
          <w:sz w:val="28"/>
          <w:szCs w:val="28"/>
        </w:rPr>
        <w:t xml:space="preserve">], </w:t>
      </w:r>
      <w:r w:rsidR="00E62039">
        <w:rPr>
          <w:rFonts w:ascii="Times New Roman" w:hAnsi="Times New Roman" w:cs="Times New Roman"/>
          <w:sz w:val="28"/>
          <w:szCs w:val="28"/>
          <w:lang w:val="uk-UA"/>
        </w:rPr>
        <w:t>М.Н. Шелудько</w:t>
      </w:r>
      <w:r w:rsidRPr="004C6488">
        <w:rPr>
          <w:rFonts w:ascii="Times New Roman" w:hAnsi="Times New Roman" w:cs="Times New Roman"/>
          <w:sz w:val="28"/>
          <w:szCs w:val="28"/>
        </w:rPr>
        <w:t xml:space="preserve"> [</w:t>
      </w:r>
      <w:r w:rsidR="00E62039">
        <w:rPr>
          <w:rFonts w:ascii="Times New Roman" w:hAnsi="Times New Roman" w:cs="Times New Roman"/>
          <w:sz w:val="28"/>
          <w:szCs w:val="28"/>
          <w:lang w:val="uk-UA"/>
        </w:rPr>
        <w:t>26</w:t>
      </w:r>
      <w:r w:rsidRPr="004C6488">
        <w:rPr>
          <w:rFonts w:ascii="Times New Roman" w:hAnsi="Times New Roman" w:cs="Times New Roman"/>
          <w:sz w:val="28"/>
          <w:szCs w:val="28"/>
        </w:rPr>
        <w:t>] та ін</w:t>
      </w:r>
      <w:r w:rsidR="00E62039">
        <w:rPr>
          <w:rFonts w:ascii="Times New Roman" w:hAnsi="Times New Roman" w:cs="Times New Roman"/>
          <w:sz w:val="28"/>
          <w:szCs w:val="28"/>
          <w:lang w:val="uk-UA"/>
        </w:rPr>
        <w:t>ші</w:t>
      </w:r>
      <w:r w:rsidRPr="004C6488">
        <w:rPr>
          <w:rFonts w:ascii="Times New Roman" w:hAnsi="Times New Roman" w:cs="Times New Roman"/>
          <w:sz w:val="28"/>
          <w:szCs w:val="28"/>
        </w:rPr>
        <w:t xml:space="preserve">. </w:t>
      </w:r>
    </w:p>
    <w:p w:rsidR="004C6488" w:rsidRDefault="004C6488" w:rsidP="00525653">
      <w:pPr>
        <w:spacing w:after="0" w:line="360" w:lineRule="auto"/>
        <w:ind w:firstLine="709"/>
        <w:contextualSpacing/>
        <w:jc w:val="both"/>
        <w:rPr>
          <w:rFonts w:ascii="Times New Roman" w:hAnsi="Times New Roman" w:cs="Times New Roman"/>
          <w:sz w:val="28"/>
          <w:szCs w:val="28"/>
        </w:rPr>
      </w:pPr>
      <w:r w:rsidRPr="004C6488">
        <w:rPr>
          <w:rFonts w:ascii="Times New Roman" w:hAnsi="Times New Roman" w:cs="Times New Roman"/>
          <w:sz w:val="28"/>
          <w:szCs w:val="28"/>
        </w:rPr>
        <w:t xml:space="preserve">Джерельна база. У ході наукового дослідження використано законодавчі та нормативно-правові акти Верховної Ради України і Кабінету Міністрів України, укази Президента України та відповідні матеріали фінансових інститутів, підзаконні акти Міністерства фінансів України, статистичні матеріали Державної служби статистики України, розробки і наукові дослідження вітчизняних та зарубіжних учених. </w:t>
      </w:r>
    </w:p>
    <w:p w:rsidR="004054B0" w:rsidRPr="00FC0F15" w:rsidRDefault="004C6488" w:rsidP="00525653">
      <w:pPr>
        <w:spacing w:after="0" w:line="360" w:lineRule="auto"/>
        <w:ind w:firstLine="709"/>
        <w:contextualSpacing/>
        <w:jc w:val="both"/>
        <w:rPr>
          <w:rFonts w:ascii="Times New Roman" w:hAnsi="Times New Roman" w:cs="Times New Roman"/>
          <w:sz w:val="28"/>
          <w:szCs w:val="28"/>
          <w:lang w:val="uk-UA"/>
        </w:rPr>
      </w:pPr>
      <w:r w:rsidRPr="004C6488">
        <w:rPr>
          <w:rFonts w:ascii="Times New Roman" w:hAnsi="Times New Roman" w:cs="Times New Roman"/>
          <w:sz w:val="28"/>
          <w:szCs w:val="28"/>
        </w:rPr>
        <w:t>Обсяг і структура роботи. Курсова робота включає: вступ, три розділи, загальні висновки</w:t>
      </w:r>
      <w:r w:rsidR="00073C6F">
        <w:rPr>
          <w:rFonts w:ascii="Times New Roman" w:hAnsi="Times New Roman" w:cs="Times New Roman"/>
          <w:sz w:val="28"/>
          <w:szCs w:val="28"/>
          <w:lang w:val="uk-UA"/>
        </w:rPr>
        <w:t xml:space="preserve"> та</w:t>
      </w:r>
      <w:r w:rsidRPr="004C6488">
        <w:rPr>
          <w:rFonts w:ascii="Times New Roman" w:hAnsi="Times New Roman" w:cs="Times New Roman"/>
          <w:sz w:val="28"/>
          <w:szCs w:val="28"/>
        </w:rPr>
        <w:t xml:space="preserve"> список використаних джерел. Основний зміст роботи викладено на </w:t>
      </w:r>
      <w:r w:rsidR="00FC0F15">
        <w:rPr>
          <w:rFonts w:ascii="Times New Roman" w:hAnsi="Times New Roman" w:cs="Times New Roman"/>
          <w:sz w:val="28"/>
          <w:szCs w:val="28"/>
          <w:lang w:val="uk-UA"/>
        </w:rPr>
        <w:t>39</w:t>
      </w:r>
      <w:r w:rsidRPr="004C6488">
        <w:rPr>
          <w:rFonts w:ascii="Times New Roman" w:hAnsi="Times New Roman" w:cs="Times New Roman"/>
          <w:sz w:val="28"/>
          <w:szCs w:val="28"/>
        </w:rPr>
        <w:t xml:space="preserve"> сторінках друкованого тексту. Список використаних нормативно-правових актів, наукових статей, публікацій (монографій) та інших літературних джерел налічує </w:t>
      </w:r>
      <w:r w:rsidR="00073C6F">
        <w:rPr>
          <w:rFonts w:ascii="Times New Roman" w:hAnsi="Times New Roman" w:cs="Times New Roman"/>
          <w:sz w:val="28"/>
          <w:szCs w:val="28"/>
          <w:lang w:val="uk-UA"/>
        </w:rPr>
        <w:t>2</w:t>
      </w:r>
      <w:r w:rsidR="00832464">
        <w:rPr>
          <w:rFonts w:ascii="Times New Roman" w:hAnsi="Times New Roman" w:cs="Times New Roman"/>
          <w:sz w:val="28"/>
          <w:szCs w:val="28"/>
          <w:lang w:val="uk-UA"/>
        </w:rPr>
        <w:t>7</w:t>
      </w:r>
      <w:r w:rsidRPr="004C6488">
        <w:rPr>
          <w:rFonts w:ascii="Times New Roman" w:hAnsi="Times New Roman" w:cs="Times New Roman"/>
          <w:sz w:val="28"/>
          <w:szCs w:val="28"/>
        </w:rPr>
        <w:t xml:space="preserve"> найменувань.</w:t>
      </w:r>
      <w:r w:rsidR="00FC0F15">
        <w:rPr>
          <w:rFonts w:ascii="Times New Roman" w:hAnsi="Times New Roman" w:cs="Times New Roman"/>
          <w:sz w:val="28"/>
          <w:szCs w:val="28"/>
          <w:lang w:val="uk-UA"/>
        </w:rPr>
        <w:t xml:space="preserve"> Курсову роботу проілюстровано 3 рисунками і 2 таблицями.</w:t>
      </w:r>
    </w:p>
    <w:p w:rsidR="00E4149F" w:rsidRDefault="00E4149F" w:rsidP="00525653">
      <w:pPr>
        <w:spacing w:after="0" w:line="360" w:lineRule="auto"/>
        <w:ind w:firstLine="709"/>
        <w:contextualSpacing/>
        <w:jc w:val="center"/>
        <w:rPr>
          <w:rFonts w:ascii="Times New Roman" w:hAnsi="Times New Roman" w:cs="Times New Roman"/>
          <w:sz w:val="28"/>
          <w:szCs w:val="28"/>
          <w:lang w:val="uk-UA"/>
        </w:rPr>
      </w:pPr>
    </w:p>
    <w:p w:rsidR="004C6488" w:rsidRDefault="004C6488" w:rsidP="00525653">
      <w:pPr>
        <w:spacing w:after="0" w:line="360" w:lineRule="auto"/>
        <w:ind w:firstLine="709"/>
        <w:contextualSpacing/>
        <w:jc w:val="center"/>
        <w:rPr>
          <w:rFonts w:ascii="Times New Roman" w:hAnsi="Times New Roman" w:cs="Times New Roman"/>
          <w:sz w:val="28"/>
          <w:szCs w:val="28"/>
          <w:lang w:val="uk-UA"/>
        </w:rPr>
      </w:pPr>
    </w:p>
    <w:p w:rsidR="004C6488" w:rsidRDefault="004C6488" w:rsidP="00525653">
      <w:pPr>
        <w:spacing w:after="0" w:line="360" w:lineRule="auto"/>
        <w:ind w:firstLine="709"/>
        <w:contextualSpacing/>
        <w:jc w:val="center"/>
        <w:rPr>
          <w:rFonts w:ascii="Times New Roman" w:hAnsi="Times New Roman" w:cs="Times New Roman"/>
          <w:sz w:val="28"/>
          <w:szCs w:val="28"/>
          <w:lang w:val="uk-UA"/>
        </w:rPr>
      </w:pPr>
    </w:p>
    <w:p w:rsidR="004C6488" w:rsidRPr="00E4149F" w:rsidRDefault="004C6488" w:rsidP="00FC0F15">
      <w:pPr>
        <w:spacing w:after="0" w:line="360" w:lineRule="auto"/>
        <w:contextualSpacing/>
        <w:rPr>
          <w:rFonts w:ascii="Times New Roman" w:eastAsia="Times New Roman" w:hAnsi="Times New Roman" w:cs="Times New Roman"/>
          <w:b/>
          <w:bCs/>
          <w:sz w:val="28"/>
          <w:szCs w:val="28"/>
          <w:lang w:val="uk-UA"/>
        </w:rPr>
      </w:pPr>
    </w:p>
    <w:p w:rsidR="00803B45" w:rsidRPr="00E4149F" w:rsidRDefault="00E4149F" w:rsidP="00525653">
      <w:pPr>
        <w:spacing w:after="0" w:line="360" w:lineRule="auto"/>
        <w:ind w:firstLine="709"/>
        <w:contextualSpacing/>
        <w:jc w:val="center"/>
        <w:rPr>
          <w:rFonts w:ascii="Times New Roman" w:eastAsia="Times New Roman" w:hAnsi="Times New Roman" w:cs="Times New Roman"/>
          <w:sz w:val="28"/>
          <w:szCs w:val="28"/>
        </w:rPr>
      </w:pPr>
      <w:r w:rsidRPr="00E4149F">
        <w:rPr>
          <w:rFonts w:ascii="Times New Roman" w:eastAsia="Times New Roman" w:hAnsi="Times New Roman" w:cs="Times New Roman"/>
          <w:b/>
          <w:bCs/>
          <w:sz w:val="28"/>
          <w:szCs w:val="28"/>
          <w:lang w:val="uk-UA"/>
        </w:rPr>
        <w:lastRenderedPageBreak/>
        <w:t>РОЗДІЛ</w:t>
      </w:r>
      <w:r w:rsidR="00803B45" w:rsidRPr="00E4149F">
        <w:rPr>
          <w:rFonts w:ascii="Times New Roman" w:eastAsia="Times New Roman" w:hAnsi="Times New Roman" w:cs="Times New Roman"/>
          <w:b/>
          <w:bCs/>
          <w:sz w:val="28"/>
          <w:szCs w:val="28"/>
        </w:rPr>
        <w:t xml:space="preserve"> 1</w:t>
      </w:r>
    </w:p>
    <w:p w:rsidR="00803B45" w:rsidRPr="00E4149F" w:rsidRDefault="00803B45" w:rsidP="00525653">
      <w:pPr>
        <w:spacing w:after="0" w:line="360" w:lineRule="auto"/>
        <w:ind w:firstLine="709"/>
        <w:contextualSpacing/>
        <w:jc w:val="center"/>
        <w:rPr>
          <w:rFonts w:ascii="Times New Roman" w:eastAsia="Times New Roman" w:hAnsi="Times New Roman" w:cs="Times New Roman"/>
          <w:sz w:val="28"/>
          <w:szCs w:val="28"/>
        </w:rPr>
      </w:pPr>
      <w:r w:rsidRPr="00E4149F">
        <w:rPr>
          <w:rFonts w:ascii="Times New Roman" w:eastAsia="Times New Roman" w:hAnsi="Times New Roman" w:cs="Times New Roman"/>
          <w:b/>
          <w:bCs/>
          <w:sz w:val="28"/>
          <w:szCs w:val="28"/>
        </w:rPr>
        <w:t>Сутність та ключові характеристики облігацій</w:t>
      </w:r>
    </w:p>
    <w:p w:rsidR="00803B45" w:rsidRPr="00E4149F" w:rsidRDefault="00803B45" w:rsidP="00525653">
      <w:pPr>
        <w:spacing w:after="0" w:line="360" w:lineRule="auto"/>
        <w:ind w:firstLine="709"/>
        <w:contextualSpacing/>
        <w:jc w:val="center"/>
        <w:rPr>
          <w:rFonts w:ascii="Times New Roman" w:eastAsia="Times New Roman" w:hAnsi="Times New Roman" w:cs="Times New Roman"/>
          <w:sz w:val="28"/>
          <w:szCs w:val="28"/>
        </w:rPr>
      </w:pPr>
    </w:p>
    <w:p w:rsidR="00803B45" w:rsidRPr="00E4149F" w:rsidRDefault="00803B45" w:rsidP="00525653">
      <w:pPr>
        <w:spacing w:after="0" w:line="360" w:lineRule="auto"/>
        <w:ind w:firstLine="709"/>
        <w:contextualSpacing/>
        <w:jc w:val="center"/>
        <w:rPr>
          <w:rFonts w:ascii="Times New Roman" w:eastAsia="Times New Roman" w:hAnsi="Times New Roman" w:cs="Times New Roman"/>
          <w:b/>
          <w:bCs/>
          <w:sz w:val="28"/>
          <w:szCs w:val="28"/>
          <w:lang w:val="uk-UA"/>
        </w:rPr>
      </w:pPr>
      <w:r w:rsidRPr="00E4149F">
        <w:rPr>
          <w:rFonts w:ascii="Times New Roman" w:eastAsia="Times New Roman" w:hAnsi="Times New Roman" w:cs="Times New Roman"/>
          <w:b/>
          <w:bCs/>
          <w:sz w:val="28"/>
          <w:szCs w:val="28"/>
        </w:rPr>
        <w:t>1.1 Сутність облігацій як найбільш поширених боргових цінних паперів.</w:t>
      </w:r>
    </w:p>
    <w:p w:rsidR="00E4149F" w:rsidRPr="00E4149F" w:rsidRDefault="00E4149F" w:rsidP="00525653">
      <w:pPr>
        <w:spacing w:after="0" w:line="360" w:lineRule="auto"/>
        <w:ind w:firstLine="709"/>
        <w:contextualSpacing/>
        <w:jc w:val="center"/>
        <w:rPr>
          <w:rFonts w:ascii="Times New Roman" w:eastAsia="Times New Roman" w:hAnsi="Times New Roman" w:cs="Times New Roman"/>
          <w:sz w:val="28"/>
          <w:szCs w:val="28"/>
          <w:lang w:val="uk-UA"/>
        </w:rPr>
      </w:pPr>
    </w:p>
    <w:p w:rsidR="00803B45" w:rsidRPr="004C6488" w:rsidRDefault="00803B45" w:rsidP="00525653">
      <w:pPr>
        <w:spacing w:after="0" w:line="360" w:lineRule="auto"/>
        <w:ind w:firstLine="709"/>
        <w:contextualSpacing/>
        <w:jc w:val="both"/>
        <w:rPr>
          <w:rFonts w:ascii="Times New Roman" w:eastAsia="Times New Roman" w:hAnsi="Times New Roman" w:cs="Times New Roman"/>
          <w:sz w:val="28"/>
          <w:szCs w:val="28"/>
          <w:lang w:val="uk-UA"/>
        </w:rPr>
      </w:pPr>
      <w:r w:rsidRPr="000E5652">
        <w:rPr>
          <w:rFonts w:ascii="Times New Roman" w:eastAsia="Times New Roman" w:hAnsi="Times New Roman" w:cs="Times New Roman"/>
          <w:sz w:val="28"/>
          <w:szCs w:val="28"/>
          <w:lang w:val="uk-UA"/>
        </w:rPr>
        <w:t xml:space="preserve">Облігація </w:t>
      </w:r>
      <w:r w:rsidR="00E4149F" w:rsidRPr="000E5652">
        <w:rPr>
          <w:rFonts w:ascii="Times New Roman" w:eastAsia="Times New Roman" w:hAnsi="Times New Roman" w:cs="Times New Roman"/>
          <w:sz w:val="28"/>
          <w:szCs w:val="28"/>
          <w:lang w:val="uk-UA"/>
        </w:rPr>
        <w:t>–</w:t>
      </w:r>
      <w:r w:rsidRPr="000E5652">
        <w:rPr>
          <w:rFonts w:ascii="Times New Roman" w:eastAsia="Times New Roman" w:hAnsi="Times New Roman" w:cs="Times New Roman"/>
          <w:sz w:val="28"/>
          <w:szCs w:val="28"/>
          <w:lang w:val="uk-UA"/>
        </w:rPr>
        <w:t xml:space="preserve"> борговий цінний папір. Купивши облігацію компанії-емітента, інвестор стає її кредитором. </w:t>
      </w:r>
      <w:r w:rsidRPr="004C6488">
        <w:rPr>
          <w:rFonts w:ascii="Times New Roman" w:eastAsia="Times New Roman" w:hAnsi="Times New Roman" w:cs="Times New Roman"/>
          <w:sz w:val="28"/>
          <w:szCs w:val="28"/>
          <w:lang w:val="uk-UA"/>
        </w:rPr>
        <w:t>Емітент зобов'язується виплатити власникові облігації після закінчення її терміну номінальну вартість облігації і заздалегідь відомий або легко прогнозований стабільний дохід у вигляді відсотків від номінальної вартості.</w:t>
      </w:r>
    </w:p>
    <w:p w:rsidR="00803B45" w:rsidRPr="00E4149F" w:rsidRDefault="00803B45" w:rsidP="00525653">
      <w:pPr>
        <w:spacing w:after="0" w:line="360" w:lineRule="auto"/>
        <w:ind w:firstLine="709"/>
        <w:contextualSpacing/>
        <w:jc w:val="both"/>
        <w:rPr>
          <w:rFonts w:ascii="Times New Roman" w:eastAsia="Times New Roman" w:hAnsi="Times New Roman" w:cs="Times New Roman"/>
          <w:sz w:val="28"/>
          <w:szCs w:val="28"/>
        </w:rPr>
      </w:pPr>
      <w:r w:rsidRPr="004C6488">
        <w:rPr>
          <w:rFonts w:ascii="Times New Roman" w:eastAsia="Times New Roman" w:hAnsi="Times New Roman" w:cs="Times New Roman"/>
          <w:sz w:val="28"/>
          <w:szCs w:val="28"/>
          <w:lang w:val="uk-UA"/>
        </w:rPr>
        <w:t xml:space="preserve">Інвестиції в облігації </w:t>
      </w:r>
      <w:r w:rsidR="00E4149F" w:rsidRPr="004C6488">
        <w:rPr>
          <w:rFonts w:ascii="Times New Roman" w:eastAsia="Times New Roman" w:hAnsi="Times New Roman" w:cs="Times New Roman"/>
          <w:sz w:val="28"/>
          <w:szCs w:val="28"/>
          <w:lang w:val="uk-UA"/>
        </w:rPr>
        <w:t>–</w:t>
      </w:r>
      <w:r w:rsidRPr="004C6488">
        <w:rPr>
          <w:rFonts w:ascii="Times New Roman" w:eastAsia="Times New Roman" w:hAnsi="Times New Roman" w:cs="Times New Roman"/>
          <w:sz w:val="28"/>
          <w:szCs w:val="28"/>
          <w:lang w:val="uk-UA"/>
        </w:rPr>
        <w:t xml:space="preserve"> найбільш надійне вкладання коштів на ринку цінних паперів. </w:t>
      </w:r>
      <w:r w:rsidRPr="00E4149F">
        <w:rPr>
          <w:rFonts w:ascii="Times New Roman" w:eastAsia="Times New Roman" w:hAnsi="Times New Roman" w:cs="Times New Roman"/>
          <w:sz w:val="28"/>
          <w:szCs w:val="28"/>
        </w:rPr>
        <w:t>Цей інструмент підходить для тих, кому важлива повна збереженість капіталу за вищого доходу, ніж за вкладом у банку. Такі інвестиції мають схожість із банківським вкладом, адже гроші вкладаються під відомий відсоток та на визначений термін. Але облігації мають свої переваги: більш високий прибуток за корпоративним випуском облігацій, інвестиції в них повністю ліквідні - їх можна завжди продати або забрати гроші без втрати відсотків за кожен день володіння облігацією.</w:t>
      </w:r>
    </w:p>
    <w:p w:rsidR="00803B45" w:rsidRPr="00073C6F" w:rsidRDefault="00803B45" w:rsidP="00525653">
      <w:pPr>
        <w:spacing w:after="0" w:line="360" w:lineRule="auto"/>
        <w:ind w:firstLine="709"/>
        <w:contextualSpacing/>
        <w:jc w:val="both"/>
        <w:rPr>
          <w:rFonts w:ascii="Times New Roman" w:eastAsia="Times New Roman" w:hAnsi="Times New Roman" w:cs="Times New Roman"/>
          <w:sz w:val="28"/>
          <w:szCs w:val="28"/>
          <w:lang w:val="uk-UA"/>
        </w:rPr>
      </w:pPr>
      <w:r w:rsidRPr="00E4149F">
        <w:rPr>
          <w:rFonts w:ascii="Times New Roman" w:eastAsia="Times New Roman" w:hAnsi="Times New Roman" w:cs="Times New Roman"/>
          <w:sz w:val="28"/>
          <w:szCs w:val="28"/>
        </w:rPr>
        <w:t>Випуском облігацій займаються компанії різних галузей, а також банки. Облігації можна продати в будь-який день або дочекатися терміну погашення облігації емітентом (термін облігації 3-5 років). Накопичений дохід за купоном і номінальна вартість облігацій перераховуються на рахунок інвестора, відкритий у брокера.</w:t>
      </w:r>
      <w:r w:rsidR="00073C6F">
        <w:rPr>
          <w:rFonts w:ascii="Times New Roman" w:eastAsia="Times New Roman" w:hAnsi="Times New Roman" w:cs="Times New Roman"/>
          <w:sz w:val="28"/>
          <w:szCs w:val="28"/>
          <w:lang w:val="uk-UA"/>
        </w:rPr>
        <w:t xml:space="preserve"> </w:t>
      </w:r>
      <w:r w:rsidR="00073C6F" w:rsidRPr="00604847">
        <w:rPr>
          <w:rFonts w:ascii="Times New Roman" w:eastAsia="Times New Roman" w:hAnsi="Times New Roman" w:cs="Times New Roman"/>
          <w:sz w:val="28"/>
          <w:szCs w:val="28"/>
          <w:lang w:val="uk-UA"/>
        </w:rPr>
        <w:t>[</w:t>
      </w:r>
      <w:r w:rsidR="00073C6F">
        <w:rPr>
          <w:rFonts w:ascii="Times New Roman" w:eastAsia="Times New Roman" w:hAnsi="Times New Roman" w:cs="Times New Roman"/>
          <w:sz w:val="28"/>
          <w:szCs w:val="28"/>
          <w:lang w:val="uk-UA"/>
        </w:rPr>
        <w:t>11</w:t>
      </w:r>
      <w:r w:rsidR="00073C6F" w:rsidRPr="00604847">
        <w:rPr>
          <w:rFonts w:ascii="Times New Roman" w:eastAsia="Times New Roman" w:hAnsi="Times New Roman" w:cs="Times New Roman"/>
          <w:sz w:val="28"/>
          <w:szCs w:val="28"/>
          <w:lang w:val="uk-UA"/>
        </w:rPr>
        <w:t>]</w:t>
      </w:r>
    </w:p>
    <w:p w:rsidR="00803B45" w:rsidRPr="00E4149F" w:rsidRDefault="00803B45" w:rsidP="00525653">
      <w:pPr>
        <w:spacing w:after="0" w:line="360" w:lineRule="auto"/>
        <w:ind w:firstLine="709"/>
        <w:contextualSpacing/>
        <w:jc w:val="both"/>
        <w:rPr>
          <w:rFonts w:ascii="Times New Roman" w:eastAsia="Times New Roman" w:hAnsi="Times New Roman" w:cs="Times New Roman"/>
          <w:sz w:val="28"/>
          <w:szCs w:val="28"/>
        </w:rPr>
      </w:pPr>
      <w:r w:rsidRPr="00F14024">
        <w:rPr>
          <w:rFonts w:ascii="Times New Roman" w:eastAsia="Times New Roman" w:hAnsi="Times New Roman" w:cs="Times New Roman"/>
          <w:sz w:val="28"/>
          <w:szCs w:val="28"/>
          <w:lang w:val="uk-UA"/>
        </w:rPr>
        <w:t xml:space="preserve">Через те, що власники облігацій мають право вимагати частину активів компанії у випадку її реструктуризації або ліквідації, облігації вважаються більш надійним інвестиційним інструментом ніж акції. </w:t>
      </w:r>
      <w:r w:rsidRPr="00E4149F">
        <w:rPr>
          <w:rFonts w:ascii="Times New Roman" w:eastAsia="Times New Roman" w:hAnsi="Times New Roman" w:cs="Times New Roman"/>
          <w:sz w:val="28"/>
          <w:szCs w:val="28"/>
        </w:rPr>
        <w:t>Для компаній-емітентів, облігації також являються кращою альтернативою банкам та іншим кредиторам через більш привабливі фінансові умови.</w:t>
      </w:r>
    </w:p>
    <w:p w:rsidR="00803B45" w:rsidRPr="00E4149F" w:rsidRDefault="00803B45"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lastRenderedPageBreak/>
        <w:t>Інвестуючи в облігації, потрібно звертати увагу на ряд важливих показників: ціну, кредитну якість, термін обігу, купонну ставку і прибутковість, податковий статус, ліквідність і страхування облігації. Всі ці фактори дають змогу оцінити реальну вартість конкретних боргових зобов'язань і зрозуміти, як саме даний вид капіталовкладень відповідає його інвестиційним цілям.</w:t>
      </w:r>
    </w:p>
    <w:p w:rsidR="00803B45" w:rsidRPr="00E4149F" w:rsidRDefault="00803B45" w:rsidP="00525653">
      <w:pPr>
        <w:spacing w:after="0" w:line="360" w:lineRule="auto"/>
        <w:ind w:firstLine="709"/>
        <w:contextualSpacing/>
        <w:jc w:val="center"/>
        <w:rPr>
          <w:rFonts w:ascii="Times New Roman" w:eastAsia="Times New Roman" w:hAnsi="Times New Roman" w:cs="Times New Roman"/>
          <w:sz w:val="28"/>
          <w:szCs w:val="28"/>
        </w:rPr>
      </w:pPr>
      <w:r w:rsidRPr="00E4149F">
        <w:rPr>
          <w:rFonts w:ascii="Times New Roman" w:eastAsia="Times New Roman" w:hAnsi="Times New Roman" w:cs="Times New Roman"/>
          <w:b/>
          <w:bCs/>
          <w:sz w:val="28"/>
          <w:szCs w:val="28"/>
        </w:rPr>
        <w:t>Номінальна вартість</w:t>
      </w:r>
    </w:p>
    <w:p w:rsidR="00803B45" w:rsidRPr="00E4149F" w:rsidRDefault="00803B45"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 xml:space="preserve">Номінальна вартість </w:t>
      </w:r>
      <w:r w:rsidR="00E4149F" w:rsidRPr="00E4149F">
        <w:rPr>
          <w:rFonts w:ascii="Times New Roman" w:eastAsia="Times New Roman" w:hAnsi="Times New Roman" w:cs="Times New Roman"/>
          <w:sz w:val="28"/>
          <w:szCs w:val="28"/>
        </w:rPr>
        <w:t>–</w:t>
      </w:r>
      <w:r w:rsidRPr="00E4149F">
        <w:rPr>
          <w:rFonts w:ascii="Times New Roman" w:eastAsia="Times New Roman" w:hAnsi="Times New Roman" w:cs="Times New Roman"/>
          <w:sz w:val="28"/>
          <w:szCs w:val="28"/>
        </w:rPr>
        <w:t xml:space="preserve"> це сума грошей, яку власник отримає назад по закінченню терміну. На початку випущені облігації, як правило, продаються за номінальною вартістю. Корпоративні облігації зазвичай мають номінальну вартість $ 1000, але ця сума може бути набагато більшою для державних облігацій.</w:t>
      </w:r>
    </w:p>
    <w:p w:rsidR="00803B45" w:rsidRPr="00E4149F" w:rsidRDefault="00803B45"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Багатьох інвесторів збиває з пантелику те, що номінальна вартість - не ціна облігації. Ціна облігації коливається протягом усього свого терміну у відповідь на ряд змінних факторів. Коли облігації продаються вище номінальної вартості, то продаж відбувається за ціною вище номіналу (з надбавкою). Коли облігації продаються нижче номіналу, то продаж відбувається зі знижкою.</w:t>
      </w:r>
      <w:r w:rsidR="00C638A0" w:rsidRPr="00C638A0">
        <w:rPr>
          <w:rFonts w:ascii="Times New Roman" w:eastAsia="Times New Roman" w:hAnsi="Times New Roman" w:cs="Times New Roman"/>
          <w:sz w:val="28"/>
          <w:szCs w:val="28"/>
        </w:rPr>
        <w:t xml:space="preserve"> </w:t>
      </w:r>
      <w:r w:rsidR="00C638A0" w:rsidRPr="00604847">
        <w:rPr>
          <w:rFonts w:ascii="Times New Roman" w:eastAsia="Times New Roman" w:hAnsi="Times New Roman" w:cs="Times New Roman"/>
          <w:sz w:val="28"/>
          <w:szCs w:val="28"/>
        </w:rPr>
        <w:t>[</w:t>
      </w:r>
      <w:r w:rsidR="00C638A0">
        <w:rPr>
          <w:rFonts w:ascii="Times New Roman" w:eastAsia="Times New Roman" w:hAnsi="Times New Roman" w:cs="Times New Roman"/>
          <w:sz w:val="28"/>
          <w:szCs w:val="28"/>
          <w:lang w:val="uk-UA"/>
        </w:rPr>
        <w:t>5</w:t>
      </w:r>
      <w:r w:rsidR="00C638A0" w:rsidRPr="00604847">
        <w:rPr>
          <w:rFonts w:ascii="Times New Roman" w:eastAsia="Times New Roman" w:hAnsi="Times New Roman" w:cs="Times New Roman"/>
          <w:sz w:val="28"/>
          <w:szCs w:val="28"/>
        </w:rPr>
        <w:t>]</w:t>
      </w:r>
    </w:p>
    <w:p w:rsidR="00803B45" w:rsidRPr="00E4149F" w:rsidRDefault="00803B45" w:rsidP="00525653">
      <w:pPr>
        <w:spacing w:after="0" w:line="360" w:lineRule="auto"/>
        <w:ind w:firstLine="709"/>
        <w:contextualSpacing/>
        <w:jc w:val="center"/>
        <w:rPr>
          <w:rFonts w:ascii="Times New Roman" w:eastAsia="Times New Roman" w:hAnsi="Times New Roman" w:cs="Times New Roman"/>
          <w:sz w:val="28"/>
          <w:szCs w:val="28"/>
        </w:rPr>
      </w:pPr>
      <w:r w:rsidRPr="00E4149F">
        <w:rPr>
          <w:rFonts w:ascii="Times New Roman" w:eastAsia="Times New Roman" w:hAnsi="Times New Roman" w:cs="Times New Roman"/>
          <w:b/>
          <w:bCs/>
          <w:sz w:val="28"/>
          <w:szCs w:val="28"/>
        </w:rPr>
        <w:t>Купон (процентна ставка)</w:t>
      </w:r>
    </w:p>
    <w:p w:rsidR="00803B45" w:rsidRPr="00E4149F" w:rsidRDefault="00803B45"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 xml:space="preserve">Купон </w:t>
      </w:r>
      <w:r w:rsidR="00E4149F" w:rsidRPr="00E4149F">
        <w:rPr>
          <w:rFonts w:ascii="Times New Roman" w:eastAsia="Times New Roman" w:hAnsi="Times New Roman" w:cs="Times New Roman"/>
          <w:sz w:val="28"/>
          <w:szCs w:val="28"/>
        </w:rPr>
        <w:t>–</w:t>
      </w:r>
      <w:r w:rsidRPr="00E4149F">
        <w:rPr>
          <w:rFonts w:ascii="Times New Roman" w:eastAsia="Times New Roman" w:hAnsi="Times New Roman" w:cs="Times New Roman"/>
          <w:sz w:val="28"/>
          <w:szCs w:val="28"/>
        </w:rPr>
        <w:t xml:space="preserve"> сума, яку власник облігацій отримає в якості процентних платежів. Це називається "купон", тому що раніше були поширеними паперові облігації. Проте в даний час набувають популярності облігації в електронному вигляді.</w:t>
      </w:r>
    </w:p>
    <w:p w:rsidR="001562DA" w:rsidRPr="00E4149F" w:rsidRDefault="00803B45" w:rsidP="00525653">
      <w:pPr>
        <w:spacing w:after="0" w:line="360" w:lineRule="auto"/>
        <w:ind w:firstLine="709"/>
        <w:contextualSpacing/>
        <w:jc w:val="both"/>
        <w:rPr>
          <w:rFonts w:ascii="Times New Roman" w:eastAsia="Times New Roman" w:hAnsi="Times New Roman" w:cs="Times New Roman"/>
          <w:sz w:val="28"/>
          <w:szCs w:val="28"/>
          <w:lang w:val="uk-UA"/>
        </w:rPr>
      </w:pPr>
      <w:r w:rsidRPr="00E4149F">
        <w:rPr>
          <w:rFonts w:ascii="Times New Roman" w:eastAsia="Times New Roman" w:hAnsi="Times New Roman" w:cs="Times New Roman"/>
          <w:sz w:val="28"/>
          <w:szCs w:val="28"/>
        </w:rPr>
        <w:t>Зазвичай за більшість облігацій відсотки виплачуться кожні шість місяців, але можливою є оплата щомісяця, щокварталу або щорічно. Купон виражається у вигляді відсотка від номінальної вартості. Якщо купонна ставка облігації дорівнює 10%, а номінальна вартість складає $1000, то інвестор буде отримувати відсотки у розмірі $100 на рік. Розрізняють облігації з фіксованою купонною ставкою та плаваючою ставкою. За інших рівних умов, більш низька купонна ставка означає, що ціна облігації буде коливатися більше, тому інвестори надають перевагу саме їм.</w:t>
      </w:r>
    </w:p>
    <w:p w:rsidR="00E4149F" w:rsidRPr="00E4149F" w:rsidRDefault="00E4149F" w:rsidP="00525653">
      <w:pPr>
        <w:spacing w:after="0" w:line="360" w:lineRule="auto"/>
        <w:ind w:firstLine="709"/>
        <w:contextualSpacing/>
        <w:jc w:val="both"/>
        <w:rPr>
          <w:rFonts w:ascii="Times New Roman" w:eastAsia="Times New Roman" w:hAnsi="Times New Roman" w:cs="Times New Roman"/>
          <w:sz w:val="28"/>
          <w:szCs w:val="28"/>
          <w:lang w:val="uk-UA"/>
        </w:rPr>
      </w:pPr>
    </w:p>
    <w:p w:rsidR="00E4149F" w:rsidRPr="00E4149F" w:rsidRDefault="00E4149F" w:rsidP="00525653">
      <w:pPr>
        <w:spacing w:after="0" w:line="360" w:lineRule="auto"/>
        <w:ind w:firstLine="709"/>
        <w:contextualSpacing/>
        <w:rPr>
          <w:rFonts w:ascii="Times New Roman" w:eastAsia="Times New Roman" w:hAnsi="Times New Roman" w:cs="Times New Roman"/>
          <w:sz w:val="28"/>
          <w:szCs w:val="28"/>
          <w:lang w:val="uk-UA"/>
        </w:rPr>
      </w:pPr>
    </w:p>
    <w:p w:rsidR="001562DA" w:rsidRPr="00E4149F" w:rsidRDefault="00803B45" w:rsidP="00525653">
      <w:pPr>
        <w:spacing w:after="0" w:line="360" w:lineRule="auto"/>
        <w:ind w:firstLine="709"/>
        <w:contextualSpacing/>
        <w:jc w:val="center"/>
        <w:rPr>
          <w:rFonts w:ascii="Times New Roman" w:eastAsia="Times New Roman" w:hAnsi="Times New Roman" w:cs="Times New Roman"/>
          <w:sz w:val="28"/>
          <w:szCs w:val="28"/>
        </w:rPr>
      </w:pPr>
      <w:r w:rsidRPr="00E4149F">
        <w:rPr>
          <w:rFonts w:ascii="Times New Roman" w:eastAsia="Times New Roman" w:hAnsi="Times New Roman" w:cs="Times New Roman"/>
          <w:b/>
          <w:bCs/>
          <w:sz w:val="28"/>
          <w:szCs w:val="28"/>
        </w:rPr>
        <w:lastRenderedPageBreak/>
        <w:t>Термін обігу</w:t>
      </w:r>
    </w:p>
    <w:p w:rsidR="00803B45" w:rsidRPr="00E4149F" w:rsidRDefault="00803B45"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 xml:space="preserve">Термін обігу визначається певною датою в майбутньому, коли емітент зобов’язаний виплатити інвестору заборгованість. Терміни погашення можуть варіюватися від одного дня до 30 років. </w:t>
      </w:r>
    </w:p>
    <w:p w:rsidR="00803B45" w:rsidRPr="00E4149F" w:rsidRDefault="00803B45"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Облігації, термін обігу яких закінчується протягом одного року, є більш передбачуваними і менш ризикованими, ніж облігації, термін обігу яких складає 20 років. Тому, чим більший період погашення заборгованості, тим вищою є процентна ставка. Крім того, за інших рівних умов, більш тривалий термін обігу облігацій буде коливатися більше ніж короткий термін облігації.</w:t>
      </w:r>
      <w:r w:rsidRPr="00E4149F">
        <w:rPr>
          <w:rFonts w:ascii="Times New Roman" w:eastAsia="Times New Roman" w:hAnsi="Times New Roman" w:cs="Times New Roman"/>
          <w:b/>
          <w:bCs/>
          <w:sz w:val="28"/>
          <w:szCs w:val="28"/>
        </w:rPr>
        <w:t xml:space="preserve"> </w:t>
      </w:r>
    </w:p>
    <w:p w:rsidR="00803B45" w:rsidRPr="00E4149F" w:rsidRDefault="00803B45"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Деякі облігації мають дострокове погашення, яке дозволяє емітенту (або зобов'язує його) викупити їх у інвесторів до терміну погашення, за настанням заздалегідь визначеної дати, виплативши при цьому їх номінальну вартість.</w:t>
      </w:r>
    </w:p>
    <w:p w:rsidR="00803B45" w:rsidRPr="00E4149F" w:rsidRDefault="00803B45" w:rsidP="00525653">
      <w:pPr>
        <w:spacing w:after="0" w:line="360" w:lineRule="auto"/>
        <w:ind w:firstLine="709"/>
        <w:contextualSpacing/>
        <w:jc w:val="center"/>
        <w:rPr>
          <w:rFonts w:ascii="Times New Roman" w:eastAsia="Times New Roman" w:hAnsi="Times New Roman" w:cs="Times New Roman"/>
          <w:sz w:val="28"/>
          <w:szCs w:val="28"/>
        </w:rPr>
      </w:pPr>
      <w:r w:rsidRPr="00E4149F">
        <w:rPr>
          <w:rFonts w:ascii="Times New Roman" w:eastAsia="Times New Roman" w:hAnsi="Times New Roman" w:cs="Times New Roman"/>
          <w:b/>
          <w:bCs/>
          <w:sz w:val="28"/>
          <w:szCs w:val="28"/>
        </w:rPr>
        <w:t>Прибутковість</w:t>
      </w:r>
    </w:p>
    <w:p w:rsidR="00803B45" w:rsidRPr="00E4149F" w:rsidRDefault="00803B45"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Інвестуючи в облігації, варто пам’ятати, що вищий прибуток пов’язаний з вищим ризиком. Поточна прибутковість розраховується шляхом ділення річного доходу за купонами на поточну ринкову ціну облігації.</w:t>
      </w:r>
    </w:p>
    <w:p w:rsidR="00803B45" w:rsidRPr="00E4149F" w:rsidRDefault="00803B45"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Прибутковість до погашення вважається більш важливим показником, ніж поточна прибутковість, і дає можливість зіставляти облігації з різними термінами погашення і купонами. Різниця прибутковості двох облігацій зазвичай називається “спредом” прибутковості (yield spread). По суті, прибутковiсть до пoгaшення є дисконтнoю стaвкoю, при якiй мaйбyтні дoхoди пo oблiгaції бyдуть еквiвалeнтні потoчнiй цiні.</w:t>
      </w:r>
    </w:p>
    <w:p w:rsidR="00803B45" w:rsidRPr="00E4149F" w:rsidRDefault="00803B45"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При рoзрахyнку прибуткoвостi дo погaшeння врахoвyється сумa всiх процeнтниx платeжів, одержуваних інвестором з моменту покупки цінного паперу до терміну погaшення, а також диcконт (в разi пoкупки облігації нижчe нoміналу) або премiя (у разі покупки вище номіналу). Прибyтковiсть облігaції дo пoгaшення дaє yявлення про рeальну цiннiсть пaпeрів для iнвеcтицiйного портфeля і тому є oдним з нaйвaжливіших пoказників, якi нeобхідно врaховувати при yхваленні рiшeння про пoкупкy облiгaцій.</w:t>
      </w:r>
      <w:r w:rsidR="00C638A0" w:rsidRPr="00C638A0">
        <w:rPr>
          <w:rFonts w:ascii="Times New Roman" w:eastAsia="Times New Roman" w:hAnsi="Times New Roman" w:cs="Times New Roman"/>
          <w:sz w:val="28"/>
          <w:szCs w:val="28"/>
        </w:rPr>
        <w:t xml:space="preserve"> </w:t>
      </w:r>
      <w:r w:rsidR="00C638A0" w:rsidRPr="00604847">
        <w:rPr>
          <w:rFonts w:ascii="Times New Roman" w:eastAsia="Times New Roman" w:hAnsi="Times New Roman" w:cs="Times New Roman"/>
          <w:sz w:val="28"/>
          <w:szCs w:val="28"/>
        </w:rPr>
        <w:t>[</w:t>
      </w:r>
      <w:r w:rsidR="00C638A0">
        <w:rPr>
          <w:rFonts w:ascii="Times New Roman" w:eastAsia="Times New Roman" w:hAnsi="Times New Roman" w:cs="Times New Roman"/>
          <w:sz w:val="28"/>
          <w:szCs w:val="28"/>
          <w:lang w:val="uk-UA"/>
        </w:rPr>
        <w:t>20</w:t>
      </w:r>
      <w:r w:rsidR="00C638A0" w:rsidRPr="00604847">
        <w:rPr>
          <w:rFonts w:ascii="Times New Roman" w:eastAsia="Times New Roman" w:hAnsi="Times New Roman" w:cs="Times New Roman"/>
          <w:sz w:val="28"/>
          <w:szCs w:val="28"/>
        </w:rPr>
        <w:t>]</w:t>
      </w:r>
    </w:p>
    <w:p w:rsidR="00FC6C08" w:rsidRDefault="00FC6C08" w:rsidP="00525653">
      <w:pPr>
        <w:spacing w:after="0" w:line="360" w:lineRule="auto"/>
        <w:ind w:firstLine="709"/>
        <w:contextualSpacing/>
        <w:jc w:val="center"/>
        <w:rPr>
          <w:rFonts w:ascii="Times New Roman" w:eastAsia="Times New Roman" w:hAnsi="Times New Roman" w:cs="Times New Roman"/>
          <w:b/>
          <w:bCs/>
          <w:sz w:val="28"/>
          <w:szCs w:val="28"/>
          <w:lang w:val="uk-UA"/>
        </w:rPr>
      </w:pPr>
    </w:p>
    <w:p w:rsidR="00803B45" w:rsidRPr="00E4149F" w:rsidRDefault="00803B45" w:rsidP="00525653">
      <w:pPr>
        <w:spacing w:after="0" w:line="360" w:lineRule="auto"/>
        <w:ind w:firstLine="709"/>
        <w:contextualSpacing/>
        <w:jc w:val="center"/>
        <w:rPr>
          <w:rFonts w:ascii="Times New Roman" w:eastAsia="Times New Roman" w:hAnsi="Times New Roman" w:cs="Times New Roman"/>
          <w:sz w:val="28"/>
          <w:szCs w:val="28"/>
        </w:rPr>
      </w:pPr>
      <w:r w:rsidRPr="00E4149F">
        <w:rPr>
          <w:rFonts w:ascii="Times New Roman" w:eastAsia="Times New Roman" w:hAnsi="Times New Roman" w:cs="Times New Roman"/>
          <w:b/>
          <w:bCs/>
          <w:sz w:val="28"/>
          <w:szCs w:val="28"/>
        </w:rPr>
        <w:lastRenderedPageBreak/>
        <w:t>Податковий статус</w:t>
      </w:r>
    </w:p>
    <w:p w:rsidR="00803B45" w:rsidRPr="00E4149F" w:rsidRDefault="00803B45"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Оподаткування облігацій може бути як за доходом, так і за приростом капіталу.</w:t>
      </w:r>
    </w:p>
    <w:p w:rsidR="00803B45" w:rsidRPr="00E4149F" w:rsidRDefault="00803B45"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i/>
          <w:iCs/>
          <w:sz w:val="28"/>
          <w:szCs w:val="28"/>
        </w:rPr>
        <w:t>Податок на доходи</w:t>
      </w:r>
    </w:p>
    <w:p w:rsidR="00803B45" w:rsidRPr="00E4149F" w:rsidRDefault="00803B45"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Податкові наслідки окремих облігацій досить прості: якщо інвестор володіє облігаціями, що генерують оподатковуваний дохід (який охоплює практично всі облігації, за винятком, муніципальних облігацій), інвестор обкладається податком на цей, одержуваний за рік, дохід.</w:t>
      </w:r>
    </w:p>
    <w:p w:rsidR="00803B45" w:rsidRPr="00E4149F" w:rsidRDefault="00803B45"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Процентні доходи від муніципальних облігацій, як правило, не підлягають дії федеральних податків і можуть бути звільнені від сплати податків на державному і місцевому рівнях, а також, якщо облігації були випущені державою, в якій проживає інвестор.</w:t>
      </w:r>
    </w:p>
    <w:p w:rsidR="00803B45" w:rsidRPr="00E4149F" w:rsidRDefault="00803B45"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i/>
          <w:iCs/>
          <w:sz w:val="28"/>
          <w:szCs w:val="28"/>
        </w:rPr>
        <w:t>Податок на приріст капіталу</w:t>
      </w:r>
    </w:p>
    <w:p w:rsidR="00803B45" w:rsidRPr="00E4149F" w:rsidRDefault="00803B45"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Якщо інвестор купує облігації, які були видані за початкової ціни, і утримує їх до закінчення терміну погашення, він взагалі не зазнає приросту капіталу (або збитку). В результаті, інвестор, ймовірно, не понесе ніякого податку на приріст капіталу.</w:t>
      </w:r>
    </w:p>
    <w:p w:rsidR="00803B45" w:rsidRPr="00E4149F" w:rsidRDefault="00803B45"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Але потенційні наслідки податку легше отримати з облігаціями, придбаних на вторинному ринку з премією або знижкою, іншими словами, інвесторам, які платили більше або менше номінальної вартості облігації. В такому випадку, тримаючи їх увесь термін обігу або продавши раніше, відбудеться приріст капіталу або збитки, залежно від вибору податку, який зробив інвестор.</w:t>
      </w:r>
    </w:p>
    <w:p w:rsidR="00803B45" w:rsidRPr="00E4149F" w:rsidRDefault="00803B45"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Однак податок може впливати на ціну і процентну ставку облігації. Наприклад, будь-який продаж облігацій зі знижкою та з низькою купонною ставкою, що підлягають оподаткуванню, передбачає дохід двох видів: купонні платежі і виграш від зростання цін.</w:t>
      </w:r>
      <w:r w:rsidR="00C638A0" w:rsidRPr="00C638A0">
        <w:rPr>
          <w:rFonts w:ascii="Times New Roman" w:eastAsia="Times New Roman" w:hAnsi="Times New Roman" w:cs="Times New Roman"/>
          <w:sz w:val="28"/>
          <w:szCs w:val="28"/>
        </w:rPr>
        <w:t xml:space="preserve"> </w:t>
      </w:r>
      <w:r w:rsidR="00C638A0" w:rsidRPr="00604847">
        <w:rPr>
          <w:rFonts w:ascii="Times New Roman" w:eastAsia="Times New Roman" w:hAnsi="Times New Roman" w:cs="Times New Roman"/>
          <w:sz w:val="28"/>
          <w:szCs w:val="28"/>
        </w:rPr>
        <w:t>[</w:t>
      </w:r>
      <w:r w:rsidR="00C638A0">
        <w:rPr>
          <w:rFonts w:ascii="Times New Roman" w:eastAsia="Times New Roman" w:hAnsi="Times New Roman" w:cs="Times New Roman"/>
          <w:sz w:val="28"/>
          <w:szCs w:val="28"/>
          <w:lang w:val="uk-UA"/>
        </w:rPr>
        <w:t>20</w:t>
      </w:r>
      <w:r w:rsidR="00C638A0" w:rsidRPr="00604847">
        <w:rPr>
          <w:rFonts w:ascii="Times New Roman" w:eastAsia="Times New Roman" w:hAnsi="Times New Roman" w:cs="Times New Roman"/>
          <w:sz w:val="28"/>
          <w:szCs w:val="28"/>
        </w:rPr>
        <w:t>]</w:t>
      </w:r>
    </w:p>
    <w:p w:rsidR="00803B45" w:rsidRPr="00E4149F" w:rsidRDefault="00803B45" w:rsidP="00525653">
      <w:pPr>
        <w:spacing w:after="0" w:line="360" w:lineRule="auto"/>
        <w:ind w:firstLine="709"/>
        <w:contextualSpacing/>
        <w:jc w:val="center"/>
        <w:rPr>
          <w:rFonts w:ascii="Times New Roman" w:eastAsia="Times New Roman" w:hAnsi="Times New Roman" w:cs="Times New Roman"/>
          <w:sz w:val="28"/>
          <w:szCs w:val="28"/>
        </w:rPr>
      </w:pPr>
      <w:r w:rsidRPr="00E4149F">
        <w:rPr>
          <w:rFonts w:ascii="Times New Roman" w:eastAsia="Times New Roman" w:hAnsi="Times New Roman" w:cs="Times New Roman"/>
          <w:b/>
          <w:bCs/>
          <w:sz w:val="28"/>
          <w:szCs w:val="28"/>
        </w:rPr>
        <w:t>Ліквідність</w:t>
      </w:r>
    </w:p>
    <w:p w:rsidR="00803B45" w:rsidRPr="00E4149F" w:rsidRDefault="00803B45"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 xml:space="preserve">Ліквідність означає можливість інвестора швидко та без істотних фінансових втрат продати свої активи та отримати готівку у разі потреби. </w:t>
      </w:r>
      <w:r w:rsidRPr="00E4149F">
        <w:rPr>
          <w:rFonts w:ascii="Times New Roman" w:eastAsia="Times New Roman" w:hAnsi="Times New Roman" w:cs="Times New Roman"/>
          <w:sz w:val="28"/>
          <w:szCs w:val="28"/>
          <w:shd w:val="clear" w:color="auto" w:fill="FFFFFF"/>
        </w:rPr>
        <w:t xml:space="preserve">Чим вища ліквідність активу, тим він бажаніший. Якщо купівля-продаж відбувається у </w:t>
      </w:r>
      <w:r w:rsidRPr="00E4149F">
        <w:rPr>
          <w:rFonts w:ascii="Times New Roman" w:eastAsia="Times New Roman" w:hAnsi="Times New Roman" w:cs="Times New Roman"/>
          <w:sz w:val="28"/>
          <w:szCs w:val="28"/>
          <w:shd w:val="clear" w:color="auto" w:fill="FFFFFF"/>
        </w:rPr>
        <w:lastRenderedPageBreak/>
        <w:t>великих масштабах, це означає, що активи ліквідні, адже їх легше продати, а витрати від продажу невеликі. І навпаки, коли купується і продається невелика кількість облігацій і продаж їх супроводжується великими втратами у критичних ситуаціях, тому що знайти покупців досить важко, це означає, що активи є менш ліквідними.</w:t>
      </w:r>
    </w:p>
    <w:p w:rsidR="00803B45" w:rsidRPr="00E4149F" w:rsidRDefault="00803B45" w:rsidP="00525653">
      <w:pPr>
        <w:spacing w:after="0" w:line="360" w:lineRule="auto"/>
        <w:ind w:firstLine="709"/>
        <w:contextualSpacing/>
        <w:jc w:val="center"/>
        <w:rPr>
          <w:rFonts w:ascii="Times New Roman" w:eastAsia="Times New Roman" w:hAnsi="Times New Roman" w:cs="Times New Roman"/>
          <w:sz w:val="28"/>
          <w:szCs w:val="28"/>
        </w:rPr>
      </w:pPr>
      <w:r w:rsidRPr="00E4149F">
        <w:rPr>
          <w:rFonts w:ascii="Times New Roman" w:eastAsia="Times New Roman" w:hAnsi="Times New Roman" w:cs="Times New Roman"/>
          <w:b/>
          <w:bCs/>
          <w:sz w:val="28"/>
          <w:szCs w:val="28"/>
          <w:shd w:val="clear" w:color="auto" w:fill="FFFFFF"/>
        </w:rPr>
        <w:t>Страхування облігацій</w:t>
      </w:r>
    </w:p>
    <w:p w:rsidR="00803B45" w:rsidRPr="00E4149F" w:rsidRDefault="00803B45"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Страхування покращує кредитну якість облігацій. Спеціалізовані страхові компанії, які обслуговують ринок паперів з фіксованим доходом, гарантують інвесторам своєчасну виплату основного боргу і відсотків  по застрахованим ними облігаціями. Страхування являється одним з видів фінансових гарантій.</w:t>
      </w:r>
    </w:p>
    <w:p w:rsidR="00803B45" w:rsidRPr="00E4149F" w:rsidRDefault="00803B45"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За терміном дії страхування облігацій поділяється на:</w:t>
      </w:r>
    </w:p>
    <w:p w:rsidR="00803B45" w:rsidRPr="00E4149F" w:rsidRDefault="00803B45" w:rsidP="00525653">
      <w:pPr>
        <w:numPr>
          <w:ilvl w:val="0"/>
          <w:numId w:val="2"/>
        </w:numPr>
        <w:tabs>
          <w:tab w:val="clear" w:pos="720"/>
          <w:tab w:val="num" w:pos="284"/>
          <w:tab w:val="left" w:pos="1134"/>
        </w:tabs>
        <w:spacing w:after="0" w:line="360" w:lineRule="auto"/>
        <w:ind w:left="0" w:firstLine="709"/>
        <w:contextualSpacing/>
        <w:jc w:val="both"/>
        <w:textAlignment w:val="baseline"/>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короткострокові (з терміном до 8 років);</w:t>
      </w:r>
    </w:p>
    <w:p w:rsidR="00803B45" w:rsidRPr="00E4149F" w:rsidRDefault="00803B45" w:rsidP="00525653">
      <w:pPr>
        <w:numPr>
          <w:ilvl w:val="0"/>
          <w:numId w:val="2"/>
        </w:numPr>
        <w:tabs>
          <w:tab w:val="clear" w:pos="720"/>
          <w:tab w:val="num" w:pos="284"/>
          <w:tab w:val="left" w:pos="1134"/>
        </w:tabs>
        <w:spacing w:after="0" w:line="360" w:lineRule="auto"/>
        <w:ind w:left="0" w:firstLine="709"/>
        <w:contextualSpacing/>
        <w:jc w:val="both"/>
        <w:textAlignment w:val="baseline"/>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середньострокові (укладаються на термін від 8 до 30 років);</w:t>
      </w:r>
    </w:p>
    <w:p w:rsidR="00803B45" w:rsidRPr="00E4149F" w:rsidRDefault="00803B45" w:rsidP="00525653">
      <w:pPr>
        <w:numPr>
          <w:ilvl w:val="0"/>
          <w:numId w:val="2"/>
        </w:numPr>
        <w:tabs>
          <w:tab w:val="clear" w:pos="720"/>
          <w:tab w:val="num" w:pos="284"/>
          <w:tab w:val="left" w:pos="1134"/>
        </w:tabs>
        <w:spacing w:after="0" w:line="360" w:lineRule="auto"/>
        <w:ind w:left="0" w:firstLine="709"/>
        <w:contextualSpacing/>
        <w:jc w:val="both"/>
        <w:textAlignment w:val="baseline"/>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довгострокові (укладаються на термін більше 30 років).</w:t>
      </w:r>
    </w:p>
    <w:p w:rsidR="00E4149F" w:rsidRPr="00E4149F" w:rsidRDefault="00E4149F" w:rsidP="00525653">
      <w:pPr>
        <w:tabs>
          <w:tab w:val="num" w:pos="284"/>
          <w:tab w:val="left" w:pos="1134"/>
        </w:tabs>
        <w:spacing w:after="0" w:line="360" w:lineRule="auto"/>
        <w:ind w:firstLine="709"/>
        <w:contextualSpacing/>
        <w:jc w:val="both"/>
        <w:textAlignment w:val="baseline"/>
        <w:rPr>
          <w:rFonts w:ascii="Times New Roman" w:eastAsia="Times New Roman" w:hAnsi="Times New Roman" w:cs="Times New Roman"/>
          <w:sz w:val="28"/>
          <w:szCs w:val="28"/>
        </w:rPr>
      </w:pPr>
    </w:p>
    <w:p w:rsidR="00C04B3E" w:rsidRDefault="00C04B3E" w:rsidP="00525653">
      <w:pPr>
        <w:spacing w:after="0" w:line="360" w:lineRule="auto"/>
        <w:ind w:firstLine="709"/>
        <w:contextualSpacing/>
        <w:jc w:val="both"/>
        <w:rPr>
          <w:rFonts w:ascii="Times New Roman" w:eastAsia="Times New Roman" w:hAnsi="Times New Roman" w:cs="Times New Roman"/>
          <w:b/>
          <w:bCs/>
          <w:sz w:val="28"/>
          <w:szCs w:val="28"/>
          <w:lang w:val="uk-UA"/>
        </w:rPr>
      </w:pPr>
      <w:r w:rsidRPr="00E4149F">
        <w:rPr>
          <w:rFonts w:ascii="Times New Roman" w:eastAsia="Times New Roman" w:hAnsi="Times New Roman" w:cs="Times New Roman"/>
          <w:b/>
          <w:bCs/>
          <w:sz w:val="28"/>
          <w:szCs w:val="28"/>
        </w:rPr>
        <w:t>1.2 Види облігацій: державні, муніципальні, корпоративні та іноземні.</w:t>
      </w:r>
    </w:p>
    <w:p w:rsidR="00E4149F" w:rsidRPr="00E4149F" w:rsidRDefault="00E4149F" w:rsidP="00525653">
      <w:pPr>
        <w:spacing w:after="0" w:line="360" w:lineRule="auto"/>
        <w:ind w:firstLine="709"/>
        <w:contextualSpacing/>
        <w:jc w:val="both"/>
        <w:rPr>
          <w:rFonts w:ascii="Times New Roman" w:eastAsia="Times New Roman" w:hAnsi="Times New Roman" w:cs="Times New Roman"/>
          <w:sz w:val="28"/>
          <w:szCs w:val="28"/>
          <w:lang w:val="uk-UA"/>
        </w:rPr>
      </w:pPr>
    </w:p>
    <w:p w:rsidR="00C04B3E" w:rsidRPr="00E4149F" w:rsidRDefault="00C04B3E" w:rsidP="00525653">
      <w:pPr>
        <w:spacing w:after="0" w:line="360" w:lineRule="auto"/>
        <w:ind w:firstLine="709"/>
        <w:contextualSpacing/>
        <w:jc w:val="both"/>
        <w:rPr>
          <w:rFonts w:ascii="Times New Roman" w:eastAsia="Times New Roman" w:hAnsi="Times New Roman" w:cs="Times New Roman"/>
          <w:sz w:val="28"/>
          <w:szCs w:val="28"/>
          <w:lang w:val="uk-UA"/>
        </w:rPr>
      </w:pPr>
      <w:r w:rsidRPr="00E4149F">
        <w:rPr>
          <w:rFonts w:ascii="Times New Roman" w:eastAsia="Times New Roman" w:hAnsi="Times New Roman" w:cs="Times New Roman"/>
          <w:sz w:val="28"/>
          <w:szCs w:val="28"/>
          <w:lang w:val="uk-UA"/>
        </w:rPr>
        <w:t>Облігації бувають різноманітними і відрізняються за:</w:t>
      </w:r>
    </w:p>
    <w:p w:rsidR="00C04B3E" w:rsidRPr="00E4149F" w:rsidRDefault="00C04B3E" w:rsidP="00525653">
      <w:pPr>
        <w:numPr>
          <w:ilvl w:val="0"/>
          <w:numId w:val="3"/>
        </w:numPr>
        <w:tabs>
          <w:tab w:val="clear" w:pos="720"/>
          <w:tab w:val="num" w:pos="142"/>
          <w:tab w:val="left" w:pos="1134"/>
        </w:tabs>
        <w:spacing w:after="0" w:line="360" w:lineRule="auto"/>
        <w:ind w:left="0" w:firstLine="709"/>
        <w:contextualSpacing/>
        <w:jc w:val="both"/>
        <w:textAlignment w:val="baseline"/>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режимом обігу (вільний, обмежений);</w:t>
      </w:r>
    </w:p>
    <w:p w:rsidR="00C04B3E" w:rsidRPr="00E4149F" w:rsidRDefault="00C04B3E" w:rsidP="00525653">
      <w:pPr>
        <w:numPr>
          <w:ilvl w:val="0"/>
          <w:numId w:val="3"/>
        </w:numPr>
        <w:tabs>
          <w:tab w:val="clear" w:pos="720"/>
          <w:tab w:val="num" w:pos="142"/>
          <w:tab w:val="left" w:pos="1134"/>
        </w:tabs>
        <w:spacing w:after="0" w:line="360" w:lineRule="auto"/>
        <w:ind w:left="0" w:firstLine="709"/>
        <w:contextualSpacing/>
        <w:jc w:val="both"/>
        <w:textAlignment w:val="baseline"/>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ступенем надійності (підкріплені майном під заставу чи ні);</w:t>
      </w:r>
    </w:p>
    <w:p w:rsidR="00C04B3E" w:rsidRPr="00E4149F" w:rsidRDefault="00C04B3E" w:rsidP="00525653">
      <w:pPr>
        <w:numPr>
          <w:ilvl w:val="0"/>
          <w:numId w:val="3"/>
        </w:numPr>
        <w:tabs>
          <w:tab w:val="clear" w:pos="720"/>
          <w:tab w:val="num" w:pos="142"/>
          <w:tab w:val="left" w:pos="1134"/>
        </w:tabs>
        <w:spacing w:after="0" w:line="360" w:lineRule="auto"/>
        <w:ind w:left="0" w:firstLine="709"/>
        <w:contextualSpacing/>
        <w:jc w:val="both"/>
        <w:textAlignment w:val="baseline"/>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принципом погашення - серійні (погашаються через певні проміжки часу) та ординарні (випускаються одночасно у встановлену дату);</w:t>
      </w:r>
    </w:p>
    <w:p w:rsidR="00C04B3E" w:rsidRPr="00E4149F" w:rsidRDefault="00C04B3E" w:rsidP="00525653">
      <w:pPr>
        <w:numPr>
          <w:ilvl w:val="0"/>
          <w:numId w:val="3"/>
        </w:numPr>
        <w:tabs>
          <w:tab w:val="clear" w:pos="720"/>
          <w:tab w:val="num" w:pos="142"/>
          <w:tab w:val="left" w:pos="1134"/>
        </w:tabs>
        <w:spacing w:after="0" w:line="360" w:lineRule="auto"/>
        <w:ind w:left="0" w:firstLine="709"/>
        <w:contextualSpacing/>
        <w:jc w:val="both"/>
        <w:textAlignment w:val="baseline"/>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строком позики (короткострокові, середньострокові, довгострокові, безстрокові);</w:t>
      </w:r>
    </w:p>
    <w:p w:rsidR="00C04B3E" w:rsidRPr="00E4149F" w:rsidRDefault="00C04B3E" w:rsidP="00525653">
      <w:pPr>
        <w:numPr>
          <w:ilvl w:val="0"/>
          <w:numId w:val="3"/>
        </w:numPr>
        <w:tabs>
          <w:tab w:val="clear" w:pos="720"/>
          <w:tab w:val="num" w:pos="142"/>
          <w:tab w:val="left" w:pos="1134"/>
        </w:tabs>
        <w:spacing w:after="0" w:line="360" w:lineRule="auto"/>
        <w:ind w:left="0" w:firstLine="709"/>
        <w:contextualSpacing/>
        <w:jc w:val="both"/>
        <w:textAlignment w:val="baseline"/>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періодичністю нарахування доходів;</w:t>
      </w:r>
    </w:p>
    <w:p w:rsidR="00C04B3E" w:rsidRPr="00E4149F" w:rsidRDefault="00C04B3E" w:rsidP="00525653">
      <w:pPr>
        <w:numPr>
          <w:ilvl w:val="0"/>
          <w:numId w:val="3"/>
        </w:numPr>
        <w:tabs>
          <w:tab w:val="clear" w:pos="720"/>
          <w:tab w:val="num" w:pos="142"/>
          <w:tab w:val="left" w:pos="1134"/>
        </w:tabs>
        <w:spacing w:after="0" w:line="360" w:lineRule="auto"/>
        <w:ind w:left="0" w:firstLine="709"/>
        <w:contextualSpacing/>
        <w:jc w:val="both"/>
        <w:textAlignment w:val="baseline"/>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характером оподаткування (звичайний податок, низький податок, не підлягають оподаткуванню);</w:t>
      </w:r>
    </w:p>
    <w:p w:rsidR="00C04B3E" w:rsidRPr="00E4149F" w:rsidRDefault="00C04B3E" w:rsidP="00525653">
      <w:pPr>
        <w:numPr>
          <w:ilvl w:val="0"/>
          <w:numId w:val="3"/>
        </w:numPr>
        <w:tabs>
          <w:tab w:val="clear" w:pos="720"/>
          <w:tab w:val="num" w:pos="142"/>
          <w:tab w:val="left" w:pos="1134"/>
        </w:tabs>
        <w:spacing w:after="0" w:line="360" w:lineRule="auto"/>
        <w:ind w:left="0" w:firstLine="709"/>
        <w:contextualSpacing/>
        <w:jc w:val="both"/>
        <w:textAlignment w:val="baseline"/>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виплатою відсоткових ставок (іменні, пред’явні).</w:t>
      </w:r>
    </w:p>
    <w:p w:rsidR="00FC6C08" w:rsidRDefault="00FC6C08" w:rsidP="00525653">
      <w:pPr>
        <w:spacing w:after="0" w:line="360" w:lineRule="auto"/>
        <w:ind w:firstLine="709"/>
        <w:contextualSpacing/>
        <w:jc w:val="center"/>
        <w:rPr>
          <w:rFonts w:ascii="Times New Roman" w:eastAsia="Times New Roman" w:hAnsi="Times New Roman" w:cs="Times New Roman"/>
          <w:b/>
          <w:bCs/>
          <w:sz w:val="28"/>
          <w:szCs w:val="28"/>
          <w:lang w:val="uk-UA"/>
        </w:rPr>
      </w:pPr>
    </w:p>
    <w:p w:rsidR="00FC6C08" w:rsidRDefault="00FC6C08" w:rsidP="00525653">
      <w:pPr>
        <w:spacing w:after="0" w:line="360" w:lineRule="auto"/>
        <w:ind w:firstLine="709"/>
        <w:contextualSpacing/>
        <w:jc w:val="center"/>
        <w:rPr>
          <w:rFonts w:ascii="Times New Roman" w:eastAsia="Times New Roman" w:hAnsi="Times New Roman" w:cs="Times New Roman"/>
          <w:b/>
          <w:bCs/>
          <w:sz w:val="28"/>
          <w:szCs w:val="28"/>
          <w:lang w:val="uk-UA"/>
        </w:rPr>
      </w:pPr>
    </w:p>
    <w:p w:rsidR="00C04B3E" w:rsidRPr="00E4149F" w:rsidRDefault="00C04B3E" w:rsidP="00525653">
      <w:pPr>
        <w:spacing w:after="0" w:line="360" w:lineRule="auto"/>
        <w:ind w:firstLine="709"/>
        <w:contextualSpacing/>
        <w:jc w:val="center"/>
        <w:rPr>
          <w:rFonts w:ascii="Times New Roman" w:eastAsia="Times New Roman" w:hAnsi="Times New Roman" w:cs="Times New Roman"/>
          <w:sz w:val="28"/>
          <w:szCs w:val="28"/>
        </w:rPr>
      </w:pPr>
      <w:r w:rsidRPr="00E4149F">
        <w:rPr>
          <w:rFonts w:ascii="Times New Roman" w:eastAsia="Times New Roman" w:hAnsi="Times New Roman" w:cs="Times New Roman"/>
          <w:b/>
          <w:bCs/>
          <w:sz w:val="28"/>
          <w:szCs w:val="28"/>
        </w:rPr>
        <w:lastRenderedPageBreak/>
        <w:t>Державні облігації.</w:t>
      </w:r>
    </w:p>
    <w:p w:rsidR="00C04B3E" w:rsidRPr="00E4149F" w:rsidRDefault="00C04B3E"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 xml:space="preserve">Державна облігація </w:t>
      </w:r>
      <w:r w:rsidR="00E4149F" w:rsidRPr="00E4149F">
        <w:rPr>
          <w:rFonts w:ascii="Times New Roman" w:eastAsia="Times New Roman" w:hAnsi="Times New Roman" w:cs="Times New Roman"/>
          <w:sz w:val="28"/>
          <w:szCs w:val="28"/>
        </w:rPr>
        <w:t>–</w:t>
      </w:r>
      <w:r w:rsidRPr="00E4149F">
        <w:rPr>
          <w:rFonts w:ascii="Times New Roman" w:eastAsia="Times New Roman" w:hAnsi="Times New Roman" w:cs="Times New Roman"/>
          <w:sz w:val="28"/>
          <w:szCs w:val="28"/>
        </w:rPr>
        <w:t xml:space="preserve"> це борговий цінний папір, виданий урядом для підтримки державних витрат. </w:t>
      </w:r>
    </w:p>
    <w:p w:rsidR="00C04B3E" w:rsidRPr="00E4149F" w:rsidRDefault="00C04B3E"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shd w:val="clear" w:color="auto" w:fill="FFFFFF"/>
        </w:rPr>
        <w:t xml:space="preserve">Не дивлячись на те, що у визначенні державних облігацій вжито слово «папір», у паперовому вигляді облігації не існують. Обіг облігацій в Україні здійснюється виключно в </w:t>
      </w:r>
      <w:hyperlink r:id="rId8" w:history="1">
        <w:r w:rsidRPr="00E4149F">
          <w:rPr>
            <w:rFonts w:ascii="Times New Roman" w:eastAsia="Times New Roman" w:hAnsi="Times New Roman" w:cs="Times New Roman"/>
            <w:sz w:val="28"/>
            <w:szCs w:val="28"/>
          </w:rPr>
          <w:t>електронному вигляд</w:t>
        </w:r>
      </w:hyperlink>
      <w:r w:rsidRPr="00E4149F">
        <w:rPr>
          <w:rFonts w:ascii="Times New Roman" w:eastAsia="Times New Roman" w:hAnsi="Times New Roman" w:cs="Times New Roman"/>
          <w:sz w:val="28"/>
          <w:szCs w:val="28"/>
          <w:shd w:val="clear" w:color="auto" w:fill="FFFFFF"/>
        </w:rPr>
        <w:t>і. Державні облігації України бувають на пред’явника або іменні.</w:t>
      </w:r>
    </w:p>
    <w:p w:rsidR="00C04B3E" w:rsidRPr="00E4149F" w:rsidRDefault="00C04B3E"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shd w:val="clear" w:color="auto" w:fill="FFFFFF"/>
        </w:rPr>
        <w:t xml:space="preserve">Вони поділяються на: </w:t>
      </w:r>
    </w:p>
    <w:p w:rsidR="00C04B3E" w:rsidRPr="00E4149F" w:rsidRDefault="00E4149F" w:rsidP="00525653">
      <w:pPr>
        <w:numPr>
          <w:ilvl w:val="0"/>
          <w:numId w:val="4"/>
        </w:numPr>
        <w:shd w:val="clear" w:color="auto" w:fill="FFFFFF"/>
        <w:tabs>
          <w:tab w:val="clear" w:pos="720"/>
          <w:tab w:val="num" w:pos="0"/>
          <w:tab w:val="left" w:pos="1134"/>
        </w:tabs>
        <w:spacing w:after="0" w:line="360" w:lineRule="auto"/>
        <w:ind w:left="0" w:firstLine="709"/>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довгострокові</w:t>
      </w:r>
      <w:r>
        <w:rPr>
          <w:rFonts w:ascii="Times New Roman" w:eastAsia="Times New Roman" w:hAnsi="Times New Roman" w:cs="Times New Roman"/>
          <w:sz w:val="28"/>
          <w:szCs w:val="28"/>
          <w:shd w:val="clear" w:color="auto" w:fill="FFFFFF"/>
          <w:lang w:val="uk-UA"/>
        </w:rPr>
        <w:t xml:space="preserve"> </w:t>
      </w:r>
      <w:r w:rsidR="00C04B3E" w:rsidRPr="00E4149F">
        <w:rPr>
          <w:rFonts w:ascii="Times New Roman" w:eastAsia="Times New Roman" w:hAnsi="Times New Roman" w:cs="Times New Roman"/>
          <w:sz w:val="28"/>
          <w:szCs w:val="28"/>
          <w:shd w:val="clear" w:color="auto" w:fill="FFFFFF"/>
        </w:rPr>
        <w:t>(понад п'ять років);</w:t>
      </w:r>
    </w:p>
    <w:p w:rsidR="00C04B3E" w:rsidRPr="00E4149F" w:rsidRDefault="00C04B3E" w:rsidP="00525653">
      <w:pPr>
        <w:numPr>
          <w:ilvl w:val="0"/>
          <w:numId w:val="4"/>
        </w:numPr>
        <w:shd w:val="clear" w:color="auto" w:fill="FFFFFF"/>
        <w:tabs>
          <w:tab w:val="clear" w:pos="720"/>
          <w:tab w:val="num" w:pos="0"/>
          <w:tab w:val="left" w:pos="1134"/>
        </w:tabs>
        <w:spacing w:after="0" w:line="360" w:lineRule="auto"/>
        <w:ind w:left="0" w:firstLine="709"/>
        <w:contextualSpacing/>
        <w:jc w:val="both"/>
        <w:textAlignment w:val="baseline"/>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shd w:val="clear" w:color="auto" w:fill="FFFFFF"/>
        </w:rPr>
        <w:t>середньострокові (від одного до п'яти років);</w:t>
      </w:r>
    </w:p>
    <w:p w:rsidR="00C04B3E" w:rsidRPr="00E4149F" w:rsidRDefault="00E4149F" w:rsidP="00525653">
      <w:pPr>
        <w:numPr>
          <w:ilvl w:val="0"/>
          <w:numId w:val="4"/>
        </w:numPr>
        <w:shd w:val="clear" w:color="auto" w:fill="FFFFFF"/>
        <w:tabs>
          <w:tab w:val="clear" w:pos="720"/>
          <w:tab w:val="num" w:pos="0"/>
          <w:tab w:val="left" w:pos="1134"/>
        </w:tabs>
        <w:spacing w:after="0" w:line="360" w:lineRule="auto"/>
        <w:ind w:left="0" w:firstLine="709"/>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короткострокові </w:t>
      </w:r>
      <w:r w:rsidR="00C04B3E" w:rsidRPr="00E4149F">
        <w:rPr>
          <w:rFonts w:ascii="Times New Roman" w:eastAsia="Times New Roman" w:hAnsi="Times New Roman" w:cs="Times New Roman"/>
          <w:sz w:val="28"/>
          <w:szCs w:val="28"/>
          <w:shd w:val="clear" w:color="auto" w:fill="FFFFFF"/>
        </w:rPr>
        <w:t>(до одного року).</w:t>
      </w:r>
    </w:p>
    <w:p w:rsidR="00C04B3E" w:rsidRPr="00E4149F" w:rsidRDefault="00C04B3E" w:rsidP="00525653">
      <w:pPr>
        <w:tabs>
          <w:tab w:val="num" w:pos="0"/>
          <w:tab w:val="left" w:pos="1134"/>
        </w:tabs>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shd w:val="clear" w:color="auto" w:fill="FFFFFF"/>
        </w:rPr>
        <w:t>В Україні державні облігації мають такі види:</w:t>
      </w:r>
    </w:p>
    <w:p w:rsidR="00E4149F" w:rsidRPr="00C638A0" w:rsidRDefault="00C04B3E" w:rsidP="00525653">
      <w:pPr>
        <w:shd w:val="clear" w:color="auto" w:fill="FFFFFF"/>
        <w:tabs>
          <w:tab w:val="left" w:pos="1134"/>
        </w:tabs>
        <w:spacing w:after="0" w:line="360" w:lineRule="auto"/>
        <w:ind w:firstLine="709"/>
        <w:jc w:val="both"/>
        <w:textAlignment w:val="baseline"/>
        <w:rPr>
          <w:rFonts w:ascii="Times New Roman" w:eastAsia="Times New Roman" w:hAnsi="Times New Roman" w:cs="Times New Roman"/>
          <w:sz w:val="28"/>
          <w:szCs w:val="28"/>
        </w:rPr>
      </w:pPr>
      <w:r w:rsidRPr="00E4149F">
        <w:rPr>
          <w:rFonts w:ascii="Times New Roman" w:eastAsia="Times New Roman" w:hAnsi="Times New Roman" w:cs="Times New Roman"/>
          <w:b/>
          <w:bCs/>
          <w:sz w:val="28"/>
          <w:szCs w:val="28"/>
          <w:shd w:val="clear" w:color="auto" w:fill="FFFFFF"/>
        </w:rPr>
        <w:t>Облігації внутрішніх державних позик України</w:t>
      </w:r>
      <w:r w:rsidRPr="00E4149F">
        <w:rPr>
          <w:rFonts w:ascii="Times New Roman" w:eastAsia="Times New Roman" w:hAnsi="Times New Roman" w:cs="Times New Roman"/>
          <w:sz w:val="28"/>
          <w:szCs w:val="28"/>
          <w:shd w:val="clear" w:color="auto" w:fill="FFFFFF"/>
        </w:rPr>
        <w:t xml:space="preserve"> (ОВДП) — державні цінні папери, розміщені виключно на внутрішньому фондовому ринку і підтверджують зобов'язання України про відшкодування пред'явникам цих облігацій їх номінальної вартості з виплатою доходу відповідно до умов розміщення облігацій. Номінальна вартість облігацій внутрішніх державних позик України може бути визначена в іноземній валюті.</w:t>
      </w:r>
      <w:r w:rsidR="00C638A0">
        <w:rPr>
          <w:rFonts w:ascii="Times New Roman" w:eastAsia="Times New Roman" w:hAnsi="Times New Roman" w:cs="Times New Roman"/>
          <w:sz w:val="28"/>
          <w:szCs w:val="28"/>
          <w:shd w:val="clear" w:color="auto" w:fill="FFFFFF"/>
          <w:lang w:val="uk-UA"/>
        </w:rPr>
        <w:t xml:space="preserve"> </w:t>
      </w:r>
      <w:r w:rsidR="00C638A0" w:rsidRPr="00C638A0">
        <w:rPr>
          <w:rFonts w:ascii="Times New Roman" w:eastAsia="Times New Roman" w:hAnsi="Times New Roman" w:cs="Times New Roman"/>
          <w:sz w:val="28"/>
          <w:szCs w:val="28"/>
        </w:rPr>
        <w:t>[</w:t>
      </w:r>
      <w:r w:rsidR="00C638A0">
        <w:rPr>
          <w:rFonts w:ascii="Times New Roman" w:eastAsia="Times New Roman" w:hAnsi="Times New Roman" w:cs="Times New Roman"/>
          <w:sz w:val="28"/>
          <w:szCs w:val="28"/>
          <w:lang w:val="uk-UA"/>
        </w:rPr>
        <w:t>23</w:t>
      </w:r>
      <w:r w:rsidR="00C638A0" w:rsidRPr="00C638A0">
        <w:rPr>
          <w:rFonts w:ascii="Times New Roman" w:eastAsia="Times New Roman" w:hAnsi="Times New Roman" w:cs="Times New Roman"/>
          <w:sz w:val="28"/>
          <w:szCs w:val="28"/>
        </w:rPr>
        <w:t>]</w:t>
      </w:r>
    </w:p>
    <w:p w:rsidR="00E4149F" w:rsidRDefault="00C04B3E" w:rsidP="00525653">
      <w:pPr>
        <w:shd w:val="clear" w:color="auto" w:fill="FFFFFF"/>
        <w:tabs>
          <w:tab w:val="left" w:pos="1134"/>
        </w:tabs>
        <w:spacing w:after="0" w:line="360" w:lineRule="auto"/>
        <w:ind w:firstLine="709"/>
        <w:jc w:val="both"/>
        <w:textAlignment w:val="baseline"/>
        <w:rPr>
          <w:rFonts w:ascii="Times New Roman" w:eastAsia="Times New Roman" w:hAnsi="Times New Roman" w:cs="Times New Roman"/>
          <w:sz w:val="28"/>
          <w:szCs w:val="28"/>
          <w:lang w:val="uk-UA"/>
        </w:rPr>
      </w:pPr>
      <w:r w:rsidRPr="00E4149F">
        <w:rPr>
          <w:rFonts w:ascii="Times New Roman" w:eastAsia="Times New Roman" w:hAnsi="Times New Roman" w:cs="Times New Roman"/>
          <w:b/>
          <w:bCs/>
          <w:sz w:val="28"/>
          <w:szCs w:val="28"/>
          <w:shd w:val="clear" w:color="auto" w:fill="FFFFFF"/>
          <w:lang w:val="uk-UA"/>
        </w:rPr>
        <w:t>Цільові облігації внутрішніх державних позик України</w:t>
      </w:r>
      <w:r w:rsidRPr="00E4149F">
        <w:rPr>
          <w:rFonts w:ascii="Times New Roman" w:eastAsia="Times New Roman" w:hAnsi="Times New Roman" w:cs="Times New Roman"/>
          <w:sz w:val="28"/>
          <w:szCs w:val="28"/>
          <w:shd w:val="clear" w:color="auto" w:fill="FFFFFF"/>
          <w:lang w:val="uk-UA"/>
        </w:rPr>
        <w:t xml:space="preserve"> (цільові ОВДП) — облігації внутрішніх державних позик, емісія яких є джерелом фінансування дефіциту державного бюджету в обсягах, передбачених на цю мету законом про Державний бюджет України на відповідний рік, та в межах граничного розміру державного боргу.</w:t>
      </w:r>
    </w:p>
    <w:p w:rsidR="00E4149F" w:rsidRDefault="00C04B3E" w:rsidP="00525653">
      <w:pPr>
        <w:shd w:val="clear" w:color="auto" w:fill="FFFFFF"/>
        <w:tabs>
          <w:tab w:val="left" w:pos="1134"/>
        </w:tabs>
        <w:spacing w:after="0" w:line="360" w:lineRule="auto"/>
        <w:ind w:firstLine="709"/>
        <w:jc w:val="both"/>
        <w:textAlignment w:val="baseline"/>
        <w:rPr>
          <w:rFonts w:ascii="Times New Roman" w:eastAsia="Times New Roman" w:hAnsi="Times New Roman" w:cs="Times New Roman"/>
          <w:sz w:val="28"/>
          <w:szCs w:val="28"/>
          <w:lang w:val="uk-UA"/>
        </w:rPr>
      </w:pPr>
      <w:r w:rsidRPr="00E4149F">
        <w:rPr>
          <w:rFonts w:ascii="Times New Roman" w:eastAsia="Times New Roman" w:hAnsi="Times New Roman" w:cs="Times New Roman"/>
          <w:b/>
          <w:bCs/>
          <w:sz w:val="28"/>
          <w:szCs w:val="28"/>
          <w:shd w:val="clear" w:color="auto" w:fill="FFFFFF"/>
          <w:lang w:val="uk-UA"/>
        </w:rPr>
        <w:t>Облігації зовнішніх державних позик України</w:t>
      </w:r>
      <w:r w:rsidRPr="00E4149F">
        <w:rPr>
          <w:rFonts w:ascii="Times New Roman" w:eastAsia="Times New Roman" w:hAnsi="Times New Roman" w:cs="Times New Roman"/>
          <w:sz w:val="28"/>
          <w:szCs w:val="28"/>
          <w:shd w:val="clear" w:color="auto" w:fill="FFFFFF"/>
          <w:lang w:val="uk-UA"/>
        </w:rPr>
        <w:t xml:space="preserve"> (ОЗДП) — державні боргові цінні папери, розміщені на міжнародних фондових ринках, які підтверджують зобов'язання України відшкодувати пред'явникам цих облігацій їх номінальну вартість з виплатою доходу відповідно до умов розміщення облігацій.</w:t>
      </w:r>
    </w:p>
    <w:p w:rsidR="00E4149F" w:rsidRDefault="00C04B3E" w:rsidP="00525653">
      <w:pPr>
        <w:shd w:val="clear" w:color="auto" w:fill="FFFFFF"/>
        <w:tabs>
          <w:tab w:val="left" w:pos="1134"/>
        </w:tabs>
        <w:spacing w:after="0" w:line="360" w:lineRule="auto"/>
        <w:ind w:firstLine="709"/>
        <w:jc w:val="both"/>
        <w:textAlignment w:val="baseline"/>
        <w:rPr>
          <w:rFonts w:ascii="Times New Roman" w:eastAsia="Times New Roman" w:hAnsi="Times New Roman" w:cs="Times New Roman"/>
          <w:sz w:val="28"/>
          <w:szCs w:val="28"/>
          <w:lang w:val="uk-UA"/>
        </w:rPr>
      </w:pPr>
      <w:r w:rsidRPr="00E4149F">
        <w:rPr>
          <w:rFonts w:ascii="Times New Roman" w:eastAsia="Times New Roman" w:hAnsi="Times New Roman" w:cs="Times New Roman"/>
          <w:sz w:val="28"/>
          <w:szCs w:val="28"/>
          <w:shd w:val="clear" w:color="auto" w:fill="FFFFFF"/>
          <w:lang w:val="uk-UA"/>
        </w:rPr>
        <w:t xml:space="preserve">Перш ніж інвестувати в державні облігації, інвестори повинні оцінити ризики, пов'язані з цією країною, наприклад, ризик країни, політичний ризик, </w:t>
      </w:r>
      <w:r w:rsidRPr="00E4149F">
        <w:rPr>
          <w:rFonts w:ascii="Times New Roman" w:eastAsia="Times New Roman" w:hAnsi="Times New Roman" w:cs="Times New Roman"/>
          <w:sz w:val="28"/>
          <w:szCs w:val="28"/>
          <w:shd w:val="clear" w:color="auto" w:fill="FFFFFF"/>
          <w:lang w:val="uk-UA"/>
        </w:rPr>
        <w:lastRenderedPageBreak/>
        <w:t>ризик інфляції і ризик зміни процентних ставок, незважаючи на те, що уряд, як правило, має низький кредитний ризик.</w:t>
      </w:r>
    </w:p>
    <w:p w:rsidR="00C04B3E" w:rsidRPr="00E4149F" w:rsidRDefault="00C04B3E" w:rsidP="00525653">
      <w:pPr>
        <w:shd w:val="clear" w:color="auto" w:fill="FFFFFF"/>
        <w:tabs>
          <w:tab w:val="left" w:pos="1134"/>
        </w:tabs>
        <w:spacing w:after="0" w:line="360" w:lineRule="auto"/>
        <w:ind w:firstLine="709"/>
        <w:jc w:val="center"/>
        <w:textAlignment w:val="baseline"/>
        <w:rPr>
          <w:rFonts w:ascii="Times New Roman" w:eastAsia="Times New Roman" w:hAnsi="Times New Roman" w:cs="Times New Roman"/>
          <w:sz w:val="28"/>
          <w:szCs w:val="28"/>
          <w:lang w:val="uk-UA"/>
        </w:rPr>
      </w:pPr>
      <w:r w:rsidRPr="00E4149F">
        <w:rPr>
          <w:rFonts w:ascii="Times New Roman" w:eastAsia="Times New Roman" w:hAnsi="Times New Roman" w:cs="Times New Roman"/>
          <w:b/>
          <w:bCs/>
          <w:sz w:val="28"/>
          <w:szCs w:val="28"/>
          <w:shd w:val="clear" w:color="auto" w:fill="FFFFFF"/>
          <w:lang w:val="uk-UA"/>
        </w:rPr>
        <w:t>Муніципальні облігації.</w:t>
      </w:r>
    </w:p>
    <w:p w:rsidR="00C04B3E" w:rsidRPr="000E5652" w:rsidRDefault="00C04B3E" w:rsidP="00525653">
      <w:pPr>
        <w:spacing w:after="0" w:line="360" w:lineRule="auto"/>
        <w:ind w:firstLine="709"/>
        <w:contextualSpacing/>
        <w:jc w:val="both"/>
        <w:rPr>
          <w:rFonts w:ascii="Times New Roman" w:eastAsia="Times New Roman" w:hAnsi="Times New Roman" w:cs="Times New Roman"/>
          <w:sz w:val="28"/>
          <w:szCs w:val="28"/>
          <w:lang w:val="uk-UA"/>
        </w:rPr>
      </w:pPr>
      <w:r w:rsidRPr="00E4149F">
        <w:rPr>
          <w:rFonts w:ascii="Times New Roman" w:eastAsia="Times New Roman" w:hAnsi="Times New Roman" w:cs="Times New Roman"/>
          <w:sz w:val="28"/>
          <w:szCs w:val="28"/>
          <w:shd w:val="clear" w:color="auto" w:fill="FFFFFF"/>
          <w:lang w:val="uk-UA"/>
        </w:rPr>
        <w:t xml:space="preserve">Муніципальні облігації </w:t>
      </w:r>
      <w:r w:rsidR="00E4149F" w:rsidRPr="00E4149F">
        <w:rPr>
          <w:rFonts w:ascii="Times New Roman" w:eastAsia="Times New Roman" w:hAnsi="Times New Roman" w:cs="Times New Roman"/>
          <w:sz w:val="28"/>
          <w:szCs w:val="28"/>
          <w:shd w:val="clear" w:color="auto" w:fill="FFFFFF"/>
          <w:lang w:val="uk-UA"/>
        </w:rPr>
        <w:t>–</w:t>
      </w:r>
      <w:r w:rsidRPr="00E4149F">
        <w:rPr>
          <w:rFonts w:ascii="Times New Roman" w:eastAsia="Times New Roman" w:hAnsi="Times New Roman" w:cs="Times New Roman"/>
          <w:sz w:val="28"/>
          <w:szCs w:val="28"/>
          <w:shd w:val="clear" w:color="auto" w:fill="FFFFFF"/>
          <w:lang w:val="uk-UA"/>
        </w:rPr>
        <w:t xml:space="preserve"> цінні папери, які випускаються місцевою владою для залучення фінансових ресурсів щодо реалізації власних інвестиційних проектів та у разі дефіциту місцевого бюджету. Вони користуються популярністю серед індивідуальних інвесторів, адже перевагою є те, що муніципальні облігації звільнені від оподаткування, але прибутковість таких облігацій як правило нижча за оподатковані облігації. </w:t>
      </w:r>
      <w:r w:rsidRPr="000E5652">
        <w:rPr>
          <w:rFonts w:ascii="Times New Roman" w:eastAsia="Times New Roman" w:hAnsi="Times New Roman" w:cs="Times New Roman"/>
          <w:sz w:val="28"/>
          <w:szCs w:val="28"/>
          <w:shd w:val="clear" w:color="auto" w:fill="FFFFFF"/>
          <w:lang w:val="uk-UA"/>
        </w:rPr>
        <w:t>Муніципальні позики є одним з найважливіших інструментів фінансування критичних суспільних потреб, таких, як: розвиток систем електропостачання, водопостачання та каналізації, будівництва житла, розвитку транспортних мереж, будівництва об'єктів освіти, охорони здоров'я тощо.</w:t>
      </w:r>
    </w:p>
    <w:p w:rsidR="00C04B3E" w:rsidRPr="00E4149F" w:rsidRDefault="00C04B3E" w:rsidP="00525653">
      <w:pPr>
        <w:spacing w:after="0" w:line="360" w:lineRule="auto"/>
        <w:ind w:firstLine="709"/>
        <w:contextualSpacing/>
        <w:jc w:val="center"/>
        <w:rPr>
          <w:rFonts w:ascii="Times New Roman" w:eastAsia="Times New Roman" w:hAnsi="Times New Roman" w:cs="Times New Roman"/>
          <w:sz w:val="28"/>
          <w:szCs w:val="28"/>
        </w:rPr>
      </w:pPr>
      <w:r w:rsidRPr="00E4149F">
        <w:rPr>
          <w:rFonts w:ascii="Times New Roman" w:eastAsia="Times New Roman" w:hAnsi="Times New Roman" w:cs="Times New Roman"/>
          <w:b/>
          <w:bCs/>
          <w:sz w:val="28"/>
          <w:szCs w:val="28"/>
          <w:shd w:val="clear" w:color="auto" w:fill="FFFFFF"/>
        </w:rPr>
        <w:t>Корпоративні облігації.</w:t>
      </w:r>
    </w:p>
    <w:p w:rsidR="00C04B3E" w:rsidRPr="00E4149F" w:rsidRDefault="00C04B3E"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shd w:val="clear" w:color="auto" w:fill="FFFFFF"/>
        </w:rPr>
        <w:t xml:space="preserve">Компанія може випускати облігації так само, як і акції. Великі корпорації мають велику гнучкість щодо того, скільки боргів вони можуть видати. Як правило, короткостроковий термін корпоративних облігацій становить менше п'яти років; середньостроковий </w:t>
      </w:r>
      <w:r w:rsidR="00E4149F">
        <w:rPr>
          <w:rFonts w:ascii="Times New Roman" w:eastAsia="Times New Roman" w:hAnsi="Times New Roman" w:cs="Times New Roman"/>
          <w:sz w:val="28"/>
          <w:szCs w:val="28"/>
          <w:shd w:val="clear" w:color="auto" w:fill="FFFFFF"/>
        </w:rPr>
        <w:t>–</w:t>
      </w:r>
      <w:r w:rsidRPr="00E4149F">
        <w:rPr>
          <w:rFonts w:ascii="Times New Roman" w:eastAsia="Times New Roman" w:hAnsi="Times New Roman" w:cs="Times New Roman"/>
          <w:sz w:val="28"/>
          <w:szCs w:val="28"/>
          <w:shd w:val="clear" w:color="auto" w:fill="FFFFFF"/>
        </w:rPr>
        <w:t xml:space="preserve"> від п'яти до 12 років, і довготривалий термін становить понад 12 років.</w:t>
      </w:r>
    </w:p>
    <w:p w:rsidR="00C04B3E" w:rsidRPr="00E4149F" w:rsidRDefault="00C04B3E"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shd w:val="clear" w:color="auto" w:fill="FFFFFF"/>
        </w:rPr>
        <w:t>Корпоративні облігації характеризуються більш високою прибутковістю, оскільки існує високий ризик дефолту компанії порівняно з урядом. Перевагою є те, що вони несуть найбільшу винагороду у вигляді фіксованого доходу за інвестиції через ризик, який інвестор бере на себе. Кредитна якість компанії є досить важливою: чим вища якість, тим нижчу процентну ставку отримує інвестор.</w:t>
      </w:r>
      <w:r w:rsidR="00C638A0" w:rsidRPr="00C638A0">
        <w:rPr>
          <w:rFonts w:ascii="Times New Roman" w:eastAsia="Times New Roman" w:hAnsi="Times New Roman" w:cs="Times New Roman"/>
          <w:sz w:val="28"/>
          <w:szCs w:val="28"/>
        </w:rPr>
        <w:t xml:space="preserve"> </w:t>
      </w:r>
      <w:r w:rsidR="00C638A0" w:rsidRPr="00604847">
        <w:rPr>
          <w:rFonts w:ascii="Times New Roman" w:eastAsia="Times New Roman" w:hAnsi="Times New Roman" w:cs="Times New Roman"/>
          <w:sz w:val="28"/>
          <w:szCs w:val="28"/>
        </w:rPr>
        <w:t>[</w:t>
      </w:r>
      <w:r w:rsidR="00C638A0">
        <w:rPr>
          <w:rFonts w:ascii="Times New Roman" w:eastAsia="Times New Roman" w:hAnsi="Times New Roman" w:cs="Times New Roman"/>
          <w:sz w:val="28"/>
          <w:szCs w:val="28"/>
          <w:lang w:val="uk-UA"/>
        </w:rPr>
        <w:t>24</w:t>
      </w:r>
      <w:r w:rsidR="00C638A0" w:rsidRPr="00604847">
        <w:rPr>
          <w:rFonts w:ascii="Times New Roman" w:eastAsia="Times New Roman" w:hAnsi="Times New Roman" w:cs="Times New Roman"/>
          <w:sz w:val="28"/>
          <w:szCs w:val="28"/>
        </w:rPr>
        <w:t>]</w:t>
      </w:r>
    </w:p>
    <w:p w:rsidR="00C04B3E" w:rsidRPr="00E4149F" w:rsidRDefault="00C04B3E" w:rsidP="00525653">
      <w:pPr>
        <w:spacing w:after="0" w:line="360" w:lineRule="auto"/>
        <w:ind w:firstLine="709"/>
        <w:contextualSpacing/>
        <w:jc w:val="center"/>
        <w:rPr>
          <w:rFonts w:ascii="Times New Roman" w:eastAsia="Times New Roman" w:hAnsi="Times New Roman" w:cs="Times New Roman"/>
          <w:sz w:val="28"/>
          <w:szCs w:val="28"/>
        </w:rPr>
      </w:pPr>
      <w:r w:rsidRPr="00E4149F">
        <w:rPr>
          <w:rFonts w:ascii="Times New Roman" w:eastAsia="Times New Roman" w:hAnsi="Times New Roman" w:cs="Times New Roman"/>
          <w:b/>
          <w:bCs/>
          <w:sz w:val="28"/>
          <w:szCs w:val="28"/>
          <w:shd w:val="clear" w:color="auto" w:fill="FFFFFF"/>
        </w:rPr>
        <w:t>Іноземні облігації.</w:t>
      </w:r>
    </w:p>
    <w:p w:rsidR="00C04B3E" w:rsidRPr="00E4149F" w:rsidRDefault="00C04B3E"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shd w:val="clear" w:color="auto" w:fill="FFFFFF"/>
        </w:rPr>
        <w:t xml:space="preserve">Іноземні облігації </w:t>
      </w:r>
      <w:r w:rsidR="00E4149F">
        <w:rPr>
          <w:rFonts w:ascii="Times New Roman" w:eastAsia="Times New Roman" w:hAnsi="Times New Roman" w:cs="Times New Roman"/>
          <w:sz w:val="28"/>
          <w:szCs w:val="28"/>
          <w:shd w:val="clear" w:color="auto" w:fill="FFFFFF"/>
        </w:rPr>
        <w:t>–</w:t>
      </w:r>
      <w:r w:rsidRPr="00E4149F">
        <w:rPr>
          <w:rFonts w:ascii="Times New Roman" w:eastAsia="Times New Roman" w:hAnsi="Times New Roman" w:cs="Times New Roman"/>
          <w:sz w:val="28"/>
          <w:szCs w:val="28"/>
          <w:shd w:val="clear" w:color="auto" w:fill="FFFFFF"/>
        </w:rPr>
        <w:t xml:space="preserve"> цінні папери, які були випущені і розміщені емітентом у будь-якій країні і виражені у національній валюті розміщення позики. Вони зазвичай є довгостроковими </w:t>
      </w:r>
      <w:r w:rsidR="00E4149F">
        <w:rPr>
          <w:rFonts w:ascii="Times New Roman" w:eastAsia="Times New Roman" w:hAnsi="Times New Roman" w:cs="Times New Roman"/>
          <w:sz w:val="28"/>
          <w:szCs w:val="28"/>
          <w:shd w:val="clear" w:color="auto" w:fill="FFFFFF"/>
        </w:rPr>
        <w:t>–</w:t>
      </w:r>
      <w:r w:rsidRPr="00E4149F">
        <w:rPr>
          <w:rFonts w:ascii="Times New Roman" w:eastAsia="Times New Roman" w:hAnsi="Times New Roman" w:cs="Times New Roman"/>
          <w:sz w:val="28"/>
          <w:szCs w:val="28"/>
          <w:shd w:val="clear" w:color="auto" w:fill="FFFFFF"/>
        </w:rPr>
        <w:t xml:space="preserve"> 20-30 років. Прикладом може бути німецька корпорація, яка продає свої облігації у Велику Британію, випущених за фунти, є </w:t>
      </w:r>
      <w:r w:rsidRPr="00E4149F">
        <w:rPr>
          <w:rFonts w:ascii="Times New Roman" w:eastAsia="Times New Roman" w:hAnsi="Times New Roman" w:cs="Times New Roman"/>
          <w:sz w:val="28"/>
          <w:szCs w:val="28"/>
          <w:shd w:val="clear" w:color="auto" w:fill="FFFFFF"/>
        </w:rPr>
        <w:lastRenderedPageBreak/>
        <w:t xml:space="preserve">розповсюдником іноземних облігацій. Гарантом, тобто андеррайтером розміщення цих облігацій є місцевий банк (в даному випадку Великої Британії). </w:t>
      </w:r>
    </w:p>
    <w:p w:rsidR="00C04B3E" w:rsidRDefault="00C04B3E" w:rsidP="00525653">
      <w:pPr>
        <w:spacing w:after="0" w:line="360" w:lineRule="auto"/>
        <w:ind w:firstLine="709"/>
        <w:contextualSpacing/>
        <w:jc w:val="both"/>
        <w:rPr>
          <w:rFonts w:ascii="Times New Roman" w:eastAsia="Times New Roman" w:hAnsi="Times New Roman" w:cs="Times New Roman"/>
          <w:sz w:val="28"/>
          <w:szCs w:val="28"/>
          <w:lang w:val="uk-UA"/>
        </w:rPr>
      </w:pPr>
      <w:r w:rsidRPr="00E4149F">
        <w:rPr>
          <w:rFonts w:ascii="Times New Roman" w:eastAsia="Times New Roman" w:hAnsi="Times New Roman" w:cs="Times New Roman"/>
          <w:sz w:val="28"/>
          <w:szCs w:val="28"/>
        </w:rPr>
        <w:t>Існує правило, згідно якого процентні ставки за облігаціями в стабільних валютах нижчі, а в нестабільних валютах - вищі. Процентні ставки на ринках облігацій світових фінансових центрів встановлюються місцевим попитом та пропозицією.</w:t>
      </w:r>
      <w:r w:rsidR="00E4149F">
        <w:rPr>
          <w:rFonts w:ascii="Times New Roman" w:eastAsia="Times New Roman" w:hAnsi="Times New Roman" w:cs="Times New Roman"/>
          <w:sz w:val="28"/>
          <w:szCs w:val="28"/>
          <w:lang w:val="uk-UA"/>
        </w:rPr>
        <w:t xml:space="preserve"> </w:t>
      </w:r>
      <w:r w:rsidR="00C638A0" w:rsidRPr="00604847">
        <w:rPr>
          <w:rFonts w:ascii="Times New Roman" w:eastAsia="Times New Roman" w:hAnsi="Times New Roman" w:cs="Times New Roman"/>
          <w:sz w:val="28"/>
          <w:szCs w:val="28"/>
        </w:rPr>
        <w:t>[</w:t>
      </w:r>
      <w:r w:rsidR="00C638A0">
        <w:rPr>
          <w:rFonts w:ascii="Times New Roman" w:eastAsia="Times New Roman" w:hAnsi="Times New Roman" w:cs="Times New Roman"/>
          <w:sz w:val="28"/>
          <w:szCs w:val="28"/>
          <w:lang w:val="uk-UA"/>
        </w:rPr>
        <w:t>25</w:t>
      </w:r>
      <w:r w:rsidR="00C638A0" w:rsidRPr="00604847">
        <w:rPr>
          <w:rFonts w:ascii="Times New Roman" w:eastAsia="Times New Roman" w:hAnsi="Times New Roman" w:cs="Times New Roman"/>
          <w:sz w:val="28"/>
          <w:szCs w:val="28"/>
        </w:rPr>
        <w:t>]</w:t>
      </w:r>
    </w:p>
    <w:p w:rsidR="00E4149F" w:rsidRPr="00E4149F" w:rsidRDefault="00E4149F" w:rsidP="00525653">
      <w:pPr>
        <w:spacing w:after="0" w:line="360" w:lineRule="auto"/>
        <w:ind w:firstLine="709"/>
        <w:contextualSpacing/>
        <w:jc w:val="both"/>
        <w:rPr>
          <w:rFonts w:ascii="Times New Roman" w:eastAsia="Times New Roman" w:hAnsi="Times New Roman" w:cs="Times New Roman"/>
          <w:sz w:val="28"/>
          <w:szCs w:val="28"/>
          <w:lang w:val="uk-UA"/>
        </w:rPr>
      </w:pPr>
    </w:p>
    <w:p w:rsidR="00051D78" w:rsidRDefault="00051D78" w:rsidP="00525653">
      <w:pPr>
        <w:pStyle w:val="a3"/>
        <w:spacing w:before="0" w:beforeAutospacing="0" w:after="0" w:afterAutospacing="0" w:line="360" w:lineRule="auto"/>
        <w:ind w:firstLine="709"/>
        <w:contextualSpacing/>
        <w:jc w:val="both"/>
        <w:rPr>
          <w:b/>
          <w:bCs/>
          <w:sz w:val="28"/>
          <w:szCs w:val="28"/>
          <w:lang w:val="uk-UA"/>
        </w:rPr>
      </w:pPr>
      <w:r w:rsidRPr="00E4149F">
        <w:rPr>
          <w:b/>
          <w:bCs/>
          <w:sz w:val="28"/>
          <w:szCs w:val="28"/>
        </w:rPr>
        <w:t>1.3 Теоретичні основи формування та управління портфелем облігацій.</w:t>
      </w:r>
    </w:p>
    <w:p w:rsidR="00E4149F" w:rsidRPr="00E4149F" w:rsidRDefault="00E4149F" w:rsidP="00525653">
      <w:pPr>
        <w:pStyle w:val="a3"/>
        <w:spacing w:before="0" w:beforeAutospacing="0" w:after="0" w:afterAutospacing="0" w:line="360" w:lineRule="auto"/>
        <w:ind w:firstLine="709"/>
        <w:contextualSpacing/>
        <w:jc w:val="both"/>
        <w:rPr>
          <w:sz w:val="28"/>
          <w:szCs w:val="28"/>
          <w:lang w:val="uk-UA"/>
        </w:rPr>
      </w:pPr>
    </w:p>
    <w:p w:rsidR="00051D78" w:rsidRPr="00E4149F" w:rsidRDefault="00051D78" w:rsidP="00525653">
      <w:pPr>
        <w:tabs>
          <w:tab w:val="left" w:pos="1134"/>
        </w:tabs>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shd w:val="clear" w:color="auto" w:fill="FFFFFF"/>
        </w:rPr>
        <w:t>Формуючи та керуючи портфелем облігацій, інвестор може ставити собі за мету такі цілі:</w:t>
      </w:r>
    </w:p>
    <w:p w:rsidR="00051D78" w:rsidRPr="00E4149F" w:rsidRDefault="00051D78" w:rsidP="00525653">
      <w:pPr>
        <w:numPr>
          <w:ilvl w:val="0"/>
          <w:numId w:val="6"/>
        </w:numPr>
        <w:shd w:val="clear" w:color="auto" w:fill="FFFFFF"/>
        <w:tabs>
          <w:tab w:val="clear" w:pos="720"/>
          <w:tab w:val="num" w:pos="426"/>
          <w:tab w:val="left" w:pos="1134"/>
        </w:tabs>
        <w:spacing w:after="0" w:line="360" w:lineRule="auto"/>
        <w:ind w:left="0" w:firstLine="709"/>
        <w:contextualSpacing/>
        <w:jc w:val="both"/>
        <w:textAlignment w:val="baseline"/>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shd w:val="clear" w:color="auto" w:fill="FFFFFF"/>
        </w:rPr>
        <w:t>досягнення високого рівня доходу на постійній основі, який інвестор отримує через певні проміжки часу;</w:t>
      </w:r>
    </w:p>
    <w:p w:rsidR="00051D78" w:rsidRPr="00E4149F" w:rsidRDefault="00051D78" w:rsidP="00525653">
      <w:pPr>
        <w:numPr>
          <w:ilvl w:val="0"/>
          <w:numId w:val="6"/>
        </w:numPr>
        <w:shd w:val="clear" w:color="auto" w:fill="FFFFFF"/>
        <w:tabs>
          <w:tab w:val="clear" w:pos="720"/>
          <w:tab w:val="num" w:pos="426"/>
          <w:tab w:val="left" w:pos="1134"/>
        </w:tabs>
        <w:spacing w:after="0" w:line="360" w:lineRule="auto"/>
        <w:ind w:left="0" w:firstLine="709"/>
        <w:contextualSpacing/>
        <w:jc w:val="both"/>
        <w:textAlignment w:val="baseline"/>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shd w:val="clear" w:color="auto" w:fill="FFFFFF"/>
        </w:rPr>
        <w:t>акумуляція коштів для досягнення запланованої суми до певної дати;</w:t>
      </w:r>
    </w:p>
    <w:p w:rsidR="00051D78" w:rsidRPr="00E4149F" w:rsidRDefault="00051D78" w:rsidP="00525653">
      <w:pPr>
        <w:numPr>
          <w:ilvl w:val="0"/>
          <w:numId w:val="6"/>
        </w:numPr>
        <w:tabs>
          <w:tab w:val="clear" w:pos="720"/>
          <w:tab w:val="num" w:pos="426"/>
          <w:tab w:val="left" w:pos="1134"/>
        </w:tabs>
        <w:spacing w:after="0" w:line="360" w:lineRule="auto"/>
        <w:ind w:left="0" w:firstLine="709"/>
        <w:contextualSpacing/>
        <w:jc w:val="both"/>
        <w:textAlignment w:val="baseline"/>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rPr>
        <w:t>підвищення віддачі портфеля через отримання прибутку шляхом зміни співвідношення цін і прибутковості до погашення облігації або через вдалий прогноз руху процентної ставки.</w:t>
      </w:r>
    </w:p>
    <w:p w:rsidR="00051D78" w:rsidRPr="00E4149F" w:rsidRDefault="00051D78"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bCs/>
          <w:sz w:val="28"/>
          <w:szCs w:val="28"/>
          <w:shd w:val="clear" w:color="auto" w:fill="FFFFFF"/>
        </w:rPr>
        <w:t>Формування та управління портфелем задля отримання постійного високого рівня доходу.</w:t>
      </w:r>
    </w:p>
    <w:p w:rsidR="00051D78" w:rsidRPr="00E4149F" w:rsidRDefault="00051D78"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shd w:val="clear" w:color="auto" w:fill="FFFFFF"/>
        </w:rPr>
        <w:t xml:space="preserve">Для досягнення даної мети необхідною є покупка надійних, щодо кредитного ризику, та високодохідних облігацій і збереження їх до погашення запланованого інвестором терміну. Щоб отримувати бажаний річний дохід, інвестор має скомпонувати в своєму портфелі таку кількість облігацій, щоб їх сумарні купонні витрати дорівнювали необхідному доходові. </w:t>
      </w:r>
    </w:p>
    <w:p w:rsidR="00051D78" w:rsidRPr="00E4149F" w:rsidRDefault="00051D78"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shd w:val="clear" w:color="auto" w:fill="FFFFFF"/>
        </w:rPr>
        <w:t xml:space="preserve">Але дана стратегія має певний ризик, викликаний багатьма причинами. По-перше, незважаючи на те, що інвестор уникає цінового ризику, утримуючи облігації до їх погашення, підвищується кредитний ризик через можливість недотримання емітентом своїх зобов’язань. По-друге, інвестор прагне до забезпечення максимального доходу і разом з тим, бажає придбати високоприбуткові облігації, які, як правило, характеризуються меншою </w:t>
      </w:r>
      <w:r w:rsidRPr="00E4149F">
        <w:rPr>
          <w:rFonts w:ascii="Times New Roman" w:eastAsia="Times New Roman" w:hAnsi="Times New Roman" w:cs="Times New Roman"/>
          <w:sz w:val="28"/>
          <w:szCs w:val="28"/>
          <w:shd w:val="clear" w:color="auto" w:fill="FFFFFF"/>
        </w:rPr>
        <w:lastRenderedPageBreak/>
        <w:t>надійністю. По-третє, портфель має бути сформований таким чином, щоб стара частина облігацій щорічно після погашення замінювалася новою, тобто процес погашення облігацій проходив послідовно, невисокими порціями.</w:t>
      </w:r>
      <w:r w:rsidR="00C638A0" w:rsidRPr="00C638A0">
        <w:rPr>
          <w:rFonts w:ascii="Times New Roman" w:eastAsia="Times New Roman" w:hAnsi="Times New Roman" w:cs="Times New Roman"/>
          <w:sz w:val="28"/>
          <w:szCs w:val="28"/>
        </w:rPr>
        <w:t xml:space="preserve"> </w:t>
      </w:r>
      <w:r w:rsidR="00C638A0" w:rsidRPr="00604847">
        <w:rPr>
          <w:rFonts w:ascii="Times New Roman" w:eastAsia="Times New Roman" w:hAnsi="Times New Roman" w:cs="Times New Roman"/>
          <w:sz w:val="28"/>
          <w:szCs w:val="28"/>
        </w:rPr>
        <w:t>[</w:t>
      </w:r>
      <w:r w:rsidR="00C638A0">
        <w:rPr>
          <w:rFonts w:ascii="Times New Roman" w:eastAsia="Times New Roman" w:hAnsi="Times New Roman" w:cs="Times New Roman"/>
          <w:sz w:val="28"/>
          <w:szCs w:val="28"/>
          <w:lang w:val="uk-UA"/>
        </w:rPr>
        <w:t>4</w:t>
      </w:r>
      <w:r w:rsidR="00C638A0" w:rsidRPr="00604847">
        <w:rPr>
          <w:rFonts w:ascii="Times New Roman" w:eastAsia="Times New Roman" w:hAnsi="Times New Roman" w:cs="Times New Roman"/>
          <w:sz w:val="28"/>
          <w:szCs w:val="28"/>
        </w:rPr>
        <w:t>]</w:t>
      </w:r>
    </w:p>
    <w:p w:rsidR="00051D78" w:rsidRPr="00E4149F" w:rsidRDefault="00051D78"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shd w:val="clear" w:color="auto" w:fill="FFFFFF"/>
        </w:rPr>
        <w:t>Перевагою даного портфеля є відсутність необхідності в його постійному керуванні. Фактично інвестор коригує свій портфель раз на рік, коли вирішує, яку облігацію придбати замість погашеної. Однак головним недоліком такого портфеля є те, що він не дозволяє розкрити всі потенційні можливості віддачі облігацій.</w:t>
      </w:r>
    </w:p>
    <w:p w:rsidR="00051D78" w:rsidRPr="00E4149F" w:rsidRDefault="00051D78"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bCs/>
          <w:sz w:val="28"/>
          <w:szCs w:val="28"/>
          <w:shd w:val="clear" w:color="auto" w:fill="FFFFFF"/>
        </w:rPr>
        <w:t>Формування та управління портфелем задля акумулювання коштів.</w:t>
      </w:r>
    </w:p>
    <w:p w:rsidR="00051D78" w:rsidRPr="00E4149F" w:rsidRDefault="00051D78"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shd w:val="clear" w:color="auto" w:fill="FFFFFF"/>
        </w:rPr>
        <w:t>Даний вид формування портфеля інвестори використовують для накопичення певної суми грошей до визначеного періоду, наприклад, для купівлі майна, перед виходом на пенсію тощо. До подібного способу накопичення суми можуть вдаватися і такі інституційні інвестори, як пенсійні фонди чи страхові компанії.</w:t>
      </w:r>
    </w:p>
    <w:p w:rsidR="00051D78" w:rsidRPr="00E4149F" w:rsidRDefault="00051D78" w:rsidP="00525653">
      <w:pPr>
        <w:spacing w:after="0" w:line="360" w:lineRule="auto"/>
        <w:ind w:firstLine="709"/>
        <w:contextualSpacing/>
        <w:jc w:val="both"/>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shd w:val="clear" w:color="auto" w:fill="FFFFFF"/>
        </w:rPr>
        <w:t>Існують такі способи формування даного портфеля:</w:t>
      </w:r>
    </w:p>
    <w:p w:rsidR="00051D78" w:rsidRPr="00E4149F" w:rsidRDefault="00051D78" w:rsidP="00525653">
      <w:pPr>
        <w:numPr>
          <w:ilvl w:val="0"/>
          <w:numId w:val="7"/>
        </w:numPr>
        <w:shd w:val="clear" w:color="auto" w:fill="FFFFFF"/>
        <w:tabs>
          <w:tab w:val="clear" w:pos="720"/>
          <w:tab w:val="num" w:pos="0"/>
          <w:tab w:val="left" w:pos="1134"/>
        </w:tabs>
        <w:spacing w:after="0" w:line="360" w:lineRule="auto"/>
        <w:ind w:left="0" w:firstLine="709"/>
        <w:contextualSpacing/>
        <w:jc w:val="both"/>
        <w:textAlignment w:val="baseline"/>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shd w:val="clear" w:color="auto" w:fill="FFFFFF"/>
        </w:rPr>
        <w:t>припис отримуваної суми для конкретних виплат;</w:t>
      </w:r>
    </w:p>
    <w:p w:rsidR="00E4149F" w:rsidRPr="00E4149F" w:rsidRDefault="00051D78" w:rsidP="00525653">
      <w:pPr>
        <w:numPr>
          <w:ilvl w:val="0"/>
          <w:numId w:val="7"/>
        </w:numPr>
        <w:shd w:val="clear" w:color="auto" w:fill="FFFFFF"/>
        <w:tabs>
          <w:tab w:val="clear" w:pos="720"/>
          <w:tab w:val="num" w:pos="0"/>
          <w:tab w:val="left" w:pos="1134"/>
        </w:tabs>
        <w:spacing w:after="0" w:line="360" w:lineRule="auto"/>
        <w:ind w:left="0" w:firstLine="709"/>
        <w:contextualSpacing/>
        <w:jc w:val="both"/>
        <w:textAlignment w:val="baseline"/>
        <w:rPr>
          <w:rFonts w:ascii="Times New Roman" w:eastAsia="Times New Roman" w:hAnsi="Times New Roman" w:cs="Times New Roman"/>
          <w:sz w:val="28"/>
          <w:szCs w:val="28"/>
        </w:rPr>
      </w:pPr>
      <w:r w:rsidRPr="00E4149F">
        <w:rPr>
          <w:rFonts w:ascii="Times New Roman" w:eastAsia="Times New Roman" w:hAnsi="Times New Roman" w:cs="Times New Roman"/>
          <w:sz w:val="28"/>
          <w:szCs w:val="28"/>
          <w:shd w:val="clear" w:color="auto" w:fill="FFFFFF"/>
        </w:rPr>
        <w:t>шляхом імунізації.</w:t>
      </w:r>
    </w:p>
    <w:p w:rsidR="00E4149F" w:rsidRDefault="00051D78" w:rsidP="00525653">
      <w:pPr>
        <w:shd w:val="clear" w:color="auto" w:fill="FFFFFF"/>
        <w:tabs>
          <w:tab w:val="left" w:pos="1134"/>
        </w:tabs>
        <w:spacing w:after="0" w:line="360" w:lineRule="auto"/>
        <w:ind w:firstLine="709"/>
        <w:contextualSpacing/>
        <w:jc w:val="both"/>
        <w:textAlignment w:val="baseline"/>
        <w:rPr>
          <w:rFonts w:ascii="Times New Roman" w:eastAsia="Times New Roman" w:hAnsi="Times New Roman" w:cs="Times New Roman"/>
          <w:sz w:val="28"/>
          <w:szCs w:val="28"/>
          <w:lang w:val="uk-UA"/>
        </w:rPr>
      </w:pPr>
      <w:r w:rsidRPr="00E4149F">
        <w:rPr>
          <w:rFonts w:ascii="Times New Roman" w:eastAsia="Times New Roman" w:hAnsi="Times New Roman" w:cs="Times New Roman"/>
          <w:sz w:val="28"/>
          <w:szCs w:val="28"/>
          <w:shd w:val="clear" w:color="auto" w:fill="FFFFFF"/>
          <w:lang w:val="uk-UA"/>
        </w:rPr>
        <w:t>Припис портфеля передбачає створення інвестором портфеля облігацій зі структурою надходження доходів, який повністю або майже повністю співпадає із структурою майбутніх виплат.</w:t>
      </w:r>
    </w:p>
    <w:p w:rsidR="00051D78" w:rsidRPr="00E4149F" w:rsidRDefault="00051D78" w:rsidP="00525653">
      <w:pPr>
        <w:shd w:val="clear" w:color="auto" w:fill="FFFFFF"/>
        <w:tabs>
          <w:tab w:val="left" w:pos="1134"/>
        </w:tabs>
        <w:spacing w:after="0" w:line="360" w:lineRule="auto"/>
        <w:ind w:firstLine="709"/>
        <w:contextualSpacing/>
        <w:jc w:val="both"/>
        <w:textAlignment w:val="baseline"/>
        <w:rPr>
          <w:rFonts w:ascii="Times New Roman" w:eastAsia="Times New Roman" w:hAnsi="Times New Roman" w:cs="Times New Roman"/>
          <w:sz w:val="28"/>
          <w:szCs w:val="28"/>
          <w:lang w:val="uk-UA"/>
        </w:rPr>
      </w:pPr>
      <w:r w:rsidRPr="00E4149F">
        <w:rPr>
          <w:rFonts w:ascii="Times New Roman" w:eastAsia="Times New Roman" w:hAnsi="Times New Roman" w:cs="Times New Roman"/>
          <w:sz w:val="28"/>
          <w:szCs w:val="28"/>
          <w:shd w:val="clear" w:color="auto" w:fill="FFFFFF"/>
        </w:rPr>
        <w:t>Головною перевагою цього методу є зведення ризику до мінімуму, адже формування портфеля відбувається з мінімально допустимими відхиленнями від встановленого графіка виплат. Але він також не дозволяє використовувати всі потенційні можливості віддачі облігацій.</w:t>
      </w:r>
    </w:p>
    <w:p w:rsidR="00E4149F" w:rsidRDefault="00A26F34" w:rsidP="00525653">
      <w:pPr>
        <w:spacing w:after="0" w:line="360" w:lineRule="auto"/>
        <w:ind w:firstLine="709"/>
        <w:contextualSpacing/>
        <w:jc w:val="both"/>
        <w:rPr>
          <w:rFonts w:ascii="Times New Roman" w:eastAsia="Times New Roman" w:hAnsi="Times New Roman" w:cs="Times New Roman"/>
          <w:sz w:val="28"/>
          <w:szCs w:val="28"/>
          <w:lang w:val="uk-UA"/>
        </w:rPr>
      </w:pPr>
      <w:r w:rsidRPr="00E4149F">
        <w:rPr>
          <w:rFonts w:ascii="Times New Roman" w:eastAsia="Times New Roman" w:hAnsi="Times New Roman" w:cs="Times New Roman"/>
          <w:bCs/>
          <w:sz w:val="28"/>
          <w:szCs w:val="28"/>
          <w:shd w:val="clear" w:color="auto" w:fill="FFFFFF"/>
          <w:lang w:val="uk-UA"/>
        </w:rPr>
        <w:t>Формування та управління портфелем облігацій з метою збільшення сумарної віддачі.</w:t>
      </w:r>
    </w:p>
    <w:p w:rsidR="00E4149F" w:rsidRDefault="00A26F34" w:rsidP="00525653">
      <w:pPr>
        <w:spacing w:after="0" w:line="360" w:lineRule="auto"/>
        <w:ind w:firstLine="709"/>
        <w:contextualSpacing/>
        <w:jc w:val="both"/>
        <w:rPr>
          <w:rFonts w:ascii="Times New Roman" w:eastAsia="Times New Roman" w:hAnsi="Times New Roman" w:cs="Times New Roman"/>
          <w:sz w:val="28"/>
          <w:szCs w:val="28"/>
          <w:lang w:val="uk-UA"/>
        </w:rPr>
      </w:pPr>
      <w:r w:rsidRPr="00E4149F">
        <w:rPr>
          <w:rFonts w:ascii="Times New Roman" w:eastAsia="Times New Roman" w:hAnsi="Times New Roman" w:cs="Times New Roman"/>
          <w:sz w:val="28"/>
          <w:szCs w:val="28"/>
          <w:shd w:val="clear" w:color="auto" w:fill="FFFFFF"/>
        </w:rPr>
        <w:t xml:space="preserve">У даному випадку інвестор ставить собі за мету в кожен момент часу домогтися максимальної сумарної вартості портфеля. Оскільки сумарна віддача портфеля включає в себе купонні виплати, реінвестиційний дохід і ціновий виграш, то дана постановка мети може підштовхувати інвестора перейти від </w:t>
      </w:r>
      <w:r w:rsidRPr="00E4149F">
        <w:rPr>
          <w:rFonts w:ascii="Times New Roman" w:eastAsia="Times New Roman" w:hAnsi="Times New Roman" w:cs="Times New Roman"/>
          <w:sz w:val="28"/>
          <w:szCs w:val="28"/>
          <w:shd w:val="clear" w:color="auto" w:fill="FFFFFF"/>
        </w:rPr>
        <w:lastRenderedPageBreak/>
        <w:t>одного способу максимізації доходу до іншого. Зазвичай розглядають дві можливі стратегії збільшення сумарної віддачі: а) зміна портфеля на підставі прогнозу майбутньої зміни процентної ставки; б) своп облігацій.</w:t>
      </w:r>
    </w:p>
    <w:p w:rsidR="00E4149F" w:rsidRDefault="00A26F34" w:rsidP="00525653">
      <w:pPr>
        <w:spacing w:after="0" w:line="360" w:lineRule="auto"/>
        <w:ind w:firstLine="709"/>
        <w:contextualSpacing/>
        <w:jc w:val="both"/>
        <w:rPr>
          <w:rFonts w:ascii="Times New Roman" w:eastAsia="Times New Roman" w:hAnsi="Times New Roman" w:cs="Times New Roman"/>
          <w:sz w:val="28"/>
          <w:szCs w:val="28"/>
          <w:lang w:val="uk-UA"/>
        </w:rPr>
      </w:pPr>
      <w:r w:rsidRPr="00E4149F">
        <w:rPr>
          <w:rFonts w:ascii="Times New Roman" w:eastAsia="Times New Roman" w:hAnsi="Times New Roman" w:cs="Times New Roman"/>
          <w:sz w:val="28"/>
          <w:szCs w:val="28"/>
          <w:shd w:val="clear" w:color="auto" w:fill="FFFFFF"/>
          <w:lang w:val="uk-UA"/>
        </w:rPr>
        <w:t>Перший варіант є досить ризикованим, адже інвестор, зважаючи на прогноз майбутньої зміни процентної ставки, змінює вміст портфеля, і якщо оцінка виявиться невірною, то це загрожує йому серйозними втратами.</w:t>
      </w:r>
    </w:p>
    <w:p w:rsidR="00803B45" w:rsidRPr="00E4149F" w:rsidRDefault="00A26F34" w:rsidP="00525653">
      <w:pPr>
        <w:spacing w:after="0" w:line="360" w:lineRule="auto"/>
        <w:ind w:firstLine="709"/>
        <w:contextualSpacing/>
        <w:jc w:val="both"/>
        <w:rPr>
          <w:rFonts w:ascii="Times New Roman" w:eastAsia="Times New Roman" w:hAnsi="Times New Roman" w:cs="Times New Roman"/>
          <w:sz w:val="28"/>
          <w:szCs w:val="28"/>
          <w:lang w:val="uk-UA"/>
        </w:rPr>
      </w:pPr>
      <w:r w:rsidRPr="00E4149F">
        <w:rPr>
          <w:rFonts w:ascii="Times New Roman" w:eastAsia="Times New Roman" w:hAnsi="Times New Roman" w:cs="Times New Roman"/>
          <w:sz w:val="28"/>
          <w:szCs w:val="28"/>
          <w:shd w:val="clear" w:color="auto" w:fill="FFFFFF"/>
          <w:lang w:val="uk-UA"/>
        </w:rPr>
        <w:t xml:space="preserve">Своп облігацій означає заміну облігацій в портфелі шляхом продажу однієї облігації і купівлі іншої. </w:t>
      </w:r>
      <w:r w:rsidRPr="000E5652">
        <w:rPr>
          <w:rFonts w:ascii="Times New Roman" w:eastAsia="Times New Roman" w:hAnsi="Times New Roman" w:cs="Times New Roman"/>
          <w:sz w:val="28"/>
          <w:szCs w:val="28"/>
          <w:shd w:val="clear" w:color="auto" w:fill="FFFFFF"/>
          <w:lang w:val="uk-UA"/>
        </w:rPr>
        <w:t xml:space="preserve">Існує багато причин заміни облігацій: підвищення поточної прибутковості, ліквідність портфеля, зміна терміну обігу, пристосування до очікуваних коливань тощо. </w:t>
      </w:r>
      <w:r w:rsidRPr="00E4149F">
        <w:rPr>
          <w:rFonts w:ascii="Times New Roman" w:eastAsia="Times New Roman" w:hAnsi="Times New Roman" w:cs="Times New Roman"/>
          <w:sz w:val="28"/>
          <w:szCs w:val="28"/>
          <w:shd w:val="clear" w:color="auto" w:fill="FFFFFF"/>
        </w:rPr>
        <w:t>Розрізняють своп нейтральний до ризику і своп з підвищенням ризику. Перший передбачає підвищення віддачі, яка вимірюється за прибутковістю до погашення, без істотного збільшення кредитного та цінового ризику. Другий тип свопу передбачає підвищення віддачі портфеля за рахунок придбання більш ризикових облігацій.</w:t>
      </w:r>
      <w:r w:rsidR="00C638A0" w:rsidRPr="00C638A0">
        <w:rPr>
          <w:rFonts w:ascii="Times New Roman" w:eastAsia="Times New Roman" w:hAnsi="Times New Roman" w:cs="Times New Roman"/>
          <w:sz w:val="28"/>
          <w:szCs w:val="28"/>
        </w:rPr>
        <w:t xml:space="preserve"> </w:t>
      </w:r>
      <w:r w:rsidR="00C638A0" w:rsidRPr="00154954">
        <w:rPr>
          <w:rFonts w:ascii="Times New Roman" w:eastAsia="Times New Roman" w:hAnsi="Times New Roman" w:cs="Times New Roman"/>
          <w:sz w:val="28"/>
          <w:szCs w:val="28"/>
        </w:rPr>
        <w:t>[</w:t>
      </w:r>
      <w:r w:rsidR="00C638A0">
        <w:rPr>
          <w:rFonts w:ascii="Times New Roman" w:eastAsia="Times New Roman" w:hAnsi="Times New Roman" w:cs="Times New Roman"/>
          <w:sz w:val="28"/>
          <w:szCs w:val="28"/>
          <w:lang w:val="uk-UA"/>
        </w:rPr>
        <w:t>1</w:t>
      </w:r>
      <w:r w:rsidR="00C638A0" w:rsidRPr="00154954">
        <w:rPr>
          <w:rFonts w:ascii="Times New Roman" w:eastAsia="Times New Roman" w:hAnsi="Times New Roman" w:cs="Times New Roman"/>
          <w:sz w:val="28"/>
          <w:szCs w:val="28"/>
        </w:rPr>
        <w:t>]</w:t>
      </w:r>
    </w:p>
    <w:p w:rsidR="00A26F34" w:rsidRDefault="00A26F34" w:rsidP="00525653">
      <w:pPr>
        <w:spacing w:after="0" w:line="360" w:lineRule="auto"/>
        <w:ind w:firstLine="709"/>
        <w:contextualSpacing/>
        <w:jc w:val="both"/>
        <w:rPr>
          <w:rFonts w:ascii="Times New Roman" w:eastAsia="Times New Roman" w:hAnsi="Times New Roman" w:cs="Times New Roman"/>
          <w:sz w:val="28"/>
          <w:szCs w:val="28"/>
          <w:shd w:val="clear" w:color="auto" w:fill="FFFFFF"/>
          <w:lang w:val="uk-UA"/>
        </w:rPr>
      </w:pPr>
    </w:p>
    <w:p w:rsidR="00E4149F" w:rsidRDefault="00E4149F" w:rsidP="00525653">
      <w:pPr>
        <w:spacing w:after="0" w:line="360" w:lineRule="auto"/>
        <w:ind w:firstLine="709"/>
        <w:contextualSpacing/>
        <w:jc w:val="both"/>
        <w:rPr>
          <w:rFonts w:ascii="Times New Roman" w:eastAsia="Times New Roman" w:hAnsi="Times New Roman" w:cs="Times New Roman"/>
          <w:sz w:val="28"/>
          <w:szCs w:val="28"/>
          <w:shd w:val="clear" w:color="auto" w:fill="FFFFFF"/>
          <w:lang w:val="uk-UA"/>
        </w:rPr>
      </w:pPr>
    </w:p>
    <w:p w:rsidR="00E4149F" w:rsidRDefault="00E4149F" w:rsidP="00525653">
      <w:pPr>
        <w:spacing w:after="0" w:line="360" w:lineRule="auto"/>
        <w:ind w:firstLine="709"/>
        <w:contextualSpacing/>
        <w:jc w:val="both"/>
        <w:rPr>
          <w:rFonts w:ascii="Times New Roman" w:eastAsia="Times New Roman" w:hAnsi="Times New Roman" w:cs="Times New Roman"/>
          <w:sz w:val="28"/>
          <w:szCs w:val="28"/>
          <w:shd w:val="clear" w:color="auto" w:fill="FFFFFF"/>
          <w:lang w:val="uk-UA"/>
        </w:rPr>
      </w:pPr>
    </w:p>
    <w:p w:rsidR="00E4149F" w:rsidRDefault="00E4149F" w:rsidP="00525653">
      <w:pPr>
        <w:spacing w:after="0" w:line="360" w:lineRule="auto"/>
        <w:ind w:firstLine="709"/>
        <w:contextualSpacing/>
        <w:jc w:val="both"/>
        <w:rPr>
          <w:rFonts w:ascii="Times New Roman" w:eastAsia="Times New Roman" w:hAnsi="Times New Roman" w:cs="Times New Roman"/>
          <w:sz w:val="28"/>
          <w:szCs w:val="28"/>
          <w:shd w:val="clear" w:color="auto" w:fill="FFFFFF"/>
          <w:lang w:val="uk-UA"/>
        </w:rPr>
      </w:pPr>
    </w:p>
    <w:p w:rsidR="00E4149F" w:rsidRDefault="00E4149F" w:rsidP="00525653">
      <w:pPr>
        <w:spacing w:after="0" w:line="360" w:lineRule="auto"/>
        <w:ind w:firstLine="709"/>
        <w:contextualSpacing/>
        <w:jc w:val="both"/>
        <w:rPr>
          <w:rFonts w:ascii="Times New Roman" w:eastAsia="Times New Roman" w:hAnsi="Times New Roman" w:cs="Times New Roman"/>
          <w:sz w:val="28"/>
          <w:szCs w:val="28"/>
          <w:shd w:val="clear" w:color="auto" w:fill="FFFFFF"/>
          <w:lang w:val="uk-UA"/>
        </w:rPr>
      </w:pPr>
    </w:p>
    <w:p w:rsidR="00E4149F" w:rsidRDefault="00E4149F" w:rsidP="00525653">
      <w:pPr>
        <w:spacing w:after="0" w:line="360" w:lineRule="auto"/>
        <w:ind w:firstLine="709"/>
        <w:contextualSpacing/>
        <w:jc w:val="both"/>
        <w:rPr>
          <w:rFonts w:ascii="Times New Roman" w:eastAsia="Times New Roman" w:hAnsi="Times New Roman" w:cs="Times New Roman"/>
          <w:sz w:val="28"/>
          <w:szCs w:val="28"/>
          <w:shd w:val="clear" w:color="auto" w:fill="FFFFFF"/>
          <w:lang w:val="uk-UA"/>
        </w:rPr>
      </w:pPr>
    </w:p>
    <w:p w:rsidR="00E4149F" w:rsidRDefault="00E4149F" w:rsidP="00525653">
      <w:pPr>
        <w:spacing w:after="0" w:line="360" w:lineRule="auto"/>
        <w:ind w:firstLine="709"/>
        <w:contextualSpacing/>
        <w:jc w:val="both"/>
        <w:rPr>
          <w:rFonts w:ascii="Times New Roman" w:eastAsia="Times New Roman" w:hAnsi="Times New Roman" w:cs="Times New Roman"/>
          <w:sz w:val="28"/>
          <w:szCs w:val="28"/>
          <w:shd w:val="clear" w:color="auto" w:fill="FFFFFF"/>
          <w:lang w:val="uk-UA"/>
        </w:rPr>
      </w:pPr>
    </w:p>
    <w:p w:rsidR="00E4149F" w:rsidRDefault="00E4149F" w:rsidP="00525653">
      <w:pPr>
        <w:spacing w:after="0" w:line="360" w:lineRule="auto"/>
        <w:ind w:firstLine="709"/>
        <w:contextualSpacing/>
        <w:jc w:val="both"/>
        <w:rPr>
          <w:rFonts w:ascii="Times New Roman" w:eastAsia="Times New Roman" w:hAnsi="Times New Roman" w:cs="Times New Roman"/>
          <w:sz w:val="28"/>
          <w:szCs w:val="28"/>
          <w:shd w:val="clear" w:color="auto" w:fill="FFFFFF"/>
          <w:lang w:val="uk-UA"/>
        </w:rPr>
      </w:pPr>
    </w:p>
    <w:p w:rsidR="00E4149F" w:rsidRDefault="00E4149F" w:rsidP="00525653">
      <w:pPr>
        <w:spacing w:after="0" w:line="360" w:lineRule="auto"/>
        <w:ind w:firstLine="709"/>
        <w:contextualSpacing/>
        <w:jc w:val="both"/>
        <w:rPr>
          <w:rFonts w:ascii="Times New Roman" w:eastAsia="Times New Roman" w:hAnsi="Times New Roman" w:cs="Times New Roman"/>
          <w:sz w:val="28"/>
          <w:szCs w:val="28"/>
          <w:shd w:val="clear" w:color="auto" w:fill="FFFFFF"/>
          <w:lang w:val="uk-UA"/>
        </w:rPr>
      </w:pPr>
    </w:p>
    <w:p w:rsidR="00E4149F" w:rsidRDefault="00E4149F" w:rsidP="00525653">
      <w:pPr>
        <w:spacing w:after="0" w:line="360" w:lineRule="auto"/>
        <w:ind w:firstLine="709"/>
        <w:contextualSpacing/>
        <w:jc w:val="both"/>
        <w:rPr>
          <w:rFonts w:ascii="Times New Roman" w:eastAsia="Times New Roman" w:hAnsi="Times New Roman" w:cs="Times New Roman"/>
          <w:sz w:val="28"/>
          <w:szCs w:val="28"/>
          <w:shd w:val="clear" w:color="auto" w:fill="FFFFFF"/>
          <w:lang w:val="uk-UA"/>
        </w:rPr>
      </w:pPr>
    </w:p>
    <w:p w:rsidR="00E4149F" w:rsidRDefault="00E4149F" w:rsidP="00525653">
      <w:pPr>
        <w:spacing w:after="0" w:line="360" w:lineRule="auto"/>
        <w:ind w:firstLine="709"/>
        <w:contextualSpacing/>
        <w:jc w:val="both"/>
        <w:rPr>
          <w:rFonts w:ascii="Times New Roman" w:eastAsia="Times New Roman" w:hAnsi="Times New Roman" w:cs="Times New Roman"/>
          <w:sz w:val="28"/>
          <w:szCs w:val="28"/>
          <w:shd w:val="clear" w:color="auto" w:fill="FFFFFF"/>
          <w:lang w:val="uk-UA"/>
        </w:rPr>
      </w:pPr>
    </w:p>
    <w:p w:rsidR="00E4149F" w:rsidRDefault="00E4149F" w:rsidP="00525653">
      <w:pPr>
        <w:spacing w:after="0" w:line="360" w:lineRule="auto"/>
        <w:ind w:firstLine="709"/>
        <w:contextualSpacing/>
        <w:jc w:val="both"/>
        <w:rPr>
          <w:rFonts w:ascii="Times New Roman" w:eastAsia="Times New Roman" w:hAnsi="Times New Roman" w:cs="Times New Roman"/>
          <w:sz w:val="28"/>
          <w:szCs w:val="28"/>
          <w:shd w:val="clear" w:color="auto" w:fill="FFFFFF"/>
          <w:lang w:val="uk-UA"/>
        </w:rPr>
      </w:pPr>
    </w:p>
    <w:p w:rsidR="00E4149F" w:rsidRDefault="00E4149F" w:rsidP="00525653">
      <w:pPr>
        <w:spacing w:after="0" w:line="360" w:lineRule="auto"/>
        <w:ind w:firstLine="709"/>
        <w:contextualSpacing/>
        <w:jc w:val="both"/>
        <w:rPr>
          <w:rFonts w:ascii="Times New Roman" w:eastAsia="Times New Roman" w:hAnsi="Times New Roman" w:cs="Times New Roman"/>
          <w:sz w:val="28"/>
          <w:szCs w:val="28"/>
          <w:shd w:val="clear" w:color="auto" w:fill="FFFFFF"/>
          <w:lang w:val="uk-UA"/>
        </w:rPr>
      </w:pPr>
    </w:p>
    <w:p w:rsidR="00E4149F" w:rsidRDefault="00E4149F" w:rsidP="00525653">
      <w:pPr>
        <w:spacing w:after="0" w:line="360" w:lineRule="auto"/>
        <w:ind w:firstLine="709"/>
        <w:contextualSpacing/>
        <w:jc w:val="both"/>
        <w:rPr>
          <w:rFonts w:ascii="Times New Roman" w:eastAsia="Times New Roman" w:hAnsi="Times New Roman" w:cs="Times New Roman"/>
          <w:sz w:val="28"/>
          <w:szCs w:val="28"/>
          <w:shd w:val="clear" w:color="auto" w:fill="FFFFFF"/>
          <w:lang w:val="uk-UA"/>
        </w:rPr>
      </w:pPr>
    </w:p>
    <w:p w:rsidR="00E4149F" w:rsidRDefault="00E4149F" w:rsidP="00525653">
      <w:pPr>
        <w:spacing w:after="0" w:line="360" w:lineRule="auto"/>
        <w:ind w:firstLine="709"/>
        <w:contextualSpacing/>
        <w:jc w:val="both"/>
        <w:rPr>
          <w:rFonts w:ascii="Times New Roman" w:eastAsia="Times New Roman" w:hAnsi="Times New Roman" w:cs="Times New Roman"/>
          <w:sz w:val="28"/>
          <w:szCs w:val="28"/>
          <w:shd w:val="clear" w:color="auto" w:fill="FFFFFF"/>
          <w:lang w:val="uk-UA"/>
        </w:rPr>
      </w:pPr>
    </w:p>
    <w:p w:rsidR="00E4149F" w:rsidRPr="00E4149F" w:rsidRDefault="00E4149F" w:rsidP="00525653">
      <w:pPr>
        <w:spacing w:after="0" w:line="360" w:lineRule="auto"/>
        <w:ind w:firstLine="709"/>
        <w:contextualSpacing/>
        <w:jc w:val="both"/>
        <w:rPr>
          <w:rFonts w:ascii="Times New Roman" w:eastAsia="Times New Roman" w:hAnsi="Times New Roman" w:cs="Times New Roman"/>
          <w:sz w:val="28"/>
          <w:szCs w:val="28"/>
          <w:shd w:val="clear" w:color="auto" w:fill="FFFFFF"/>
          <w:lang w:val="uk-UA"/>
        </w:rPr>
      </w:pPr>
    </w:p>
    <w:p w:rsidR="00A26F34" w:rsidRPr="00E4149F" w:rsidRDefault="00E4149F" w:rsidP="00525653">
      <w:pPr>
        <w:pStyle w:val="a5"/>
        <w:spacing w:line="360" w:lineRule="auto"/>
        <w:ind w:firstLine="709"/>
        <w:contextualSpacing/>
        <w:jc w:val="center"/>
        <w:rPr>
          <w:rFonts w:ascii="Times New Roman" w:eastAsia="Times New Roman" w:hAnsi="Times New Roman" w:cs="Times New Roman"/>
          <w:b/>
          <w:sz w:val="28"/>
          <w:szCs w:val="28"/>
          <w:shd w:val="clear" w:color="auto" w:fill="FFFFFF"/>
          <w:lang w:val="uk-UA"/>
        </w:rPr>
      </w:pPr>
      <w:r>
        <w:rPr>
          <w:rFonts w:ascii="Times New Roman" w:eastAsia="Times New Roman" w:hAnsi="Times New Roman" w:cs="Times New Roman"/>
          <w:b/>
          <w:sz w:val="28"/>
          <w:szCs w:val="28"/>
          <w:shd w:val="clear" w:color="auto" w:fill="FFFFFF"/>
          <w:lang w:val="uk-UA"/>
        </w:rPr>
        <w:lastRenderedPageBreak/>
        <w:t>РОЗДІЛ</w:t>
      </w:r>
      <w:r w:rsidR="00A26F34" w:rsidRPr="00E4149F">
        <w:rPr>
          <w:rFonts w:ascii="Times New Roman" w:eastAsia="Times New Roman" w:hAnsi="Times New Roman" w:cs="Times New Roman"/>
          <w:b/>
          <w:sz w:val="28"/>
          <w:szCs w:val="28"/>
          <w:shd w:val="clear" w:color="auto" w:fill="FFFFFF"/>
          <w:lang w:val="uk-UA"/>
        </w:rPr>
        <w:t xml:space="preserve"> 2</w:t>
      </w:r>
    </w:p>
    <w:p w:rsidR="00A26F34" w:rsidRDefault="00A26F34" w:rsidP="00525653">
      <w:pPr>
        <w:pStyle w:val="a5"/>
        <w:spacing w:line="360" w:lineRule="auto"/>
        <w:ind w:firstLine="709"/>
        <w:contextualSpacing/>
        <w:jc w:val="center"/>
        <w:rPr>
          <w:rFonts w:ascii="Times New Roman" w:hAnsi="Times New Roman" w:cs="Times New Roman"/>
          <w:b/>
          <w:sz w:val="28"/>
          <w:szCs w:val="28"/>
          <w:lang w:val="uk-UA"/>
        </w:rPr>
      </w:pPr>
      <w:r w:rsidRPr="00E4149F">
        <w:rPr>
          <w:rFonts w:ascii="Times New Roman" w:hAnsi="Times New Roman" w:cs="Times New Roman"/>
          <w:b/>
          <w:sz w:val="28"/>
          <w:szCs w:val="28"/>
          <w:lang w:val="uk-UA"/>
        </w:rPr>
        <w:t>Облігації як важливий сучасний інструмент фінансового</w:t>
      </w:r>
      <w:r w:rsidR="00E4149F">
        <w:rPr>
          <w:rFonts w:ascii="Times New Roman" w:hAnsi="Times New Roman" w:cs="Times New Roman"/>
          <w:b/>
          <w:sz w:val="28"/>
          <w:szCs w:val="28"/>
          <w:lang w:val="uk-UA"/>
        </w:rPr>
        <w:t xml:space="preserve"> </w:t>
      </w:r>
      <w:r w:rsidRPr="00E4149F">
        <w:rPr>
          <w:rFonts w:ascii="Times New Roman" w:hAnsi="Times New Roman" w:cs="Times New Roman"/>
          <w:b/>
          <w:sz w:val="28"/>
          <w:szCs w:val="28"/>
          <w:lang w:val="uk-UA"/>
        </w:rPr>
        <w:t>інвестування</w:t>
      </w:r>
    </w:p>
    <w:p w:rsidR="00E4149F" w:rsidRPr="00E4149F" w:rsidRDefault="00E4149F" w:rsidP="00525653">
      <w:pPr>
        <w:pStyle w:val="a5"/>
        <w:spacing w:line="360" w:lineRule="auto"/>
        <w:ind w:firstLine="709"/>
        <w:contextualSpacing/>
        <w:jc w:val="center"/>
        <w:rPr>
          <w:rFonts w:ascii="Times New Roman" w:hAnsi="Times New Roman" w:cs="Times New Roman"/>
          <w:b/>
          <w:sz w:val="28"/>
          <w:szCs w:val="28"/>
          <w:lang w:val="uk-UA"/>
        </w:rPr>
      </w:pPr>
    </w:p>
    <w:p w:rsidR="00A26F34" w:rsidRDefault="00A26F34" w:rsidP="00525653">
      <w:pPr>
        <w:spacing w:after="0" w:line="360" w:lineRule="auto"/>
        <w:ind w:firstLine="709"/>
        <w:contextualSpacing/>
        <w:jc w:val="center"/>
        <w:rPr>
          <w:rFonts w:ascii="Times New Roman" w:hAnsi="Times New Roman" w:cs="Times New Roman"/>
          <w:b/>
          <w:sz w:val="28"/>
          <w:szCs w:val="28"/>
        </w:rPr>
      </w:pPr>
      <w:r w:rsidRPr="00E4149F">
        <w:rPr>
          <w:rFonts w:ascii="Times New Roman" w:hAnsi="Times New Roman" w:cs="Times New Roman"/>
          <w:b/>
          <w:sz w:val="28"/>
          <w:szCs w:val="28"/>
          <w:lang w:val="uk-UA"/>
        </w:rPr>
        <w:t xml:space="preserve">2.1 Застосування облігацій як інвестиційного інструмента – аналіз світової </w:t>
      </w:r>
      <w:r w:rsidRPr="00E4149F">
        <w:rPr>
          <w:rFonts w:ascii="Times New Roman" w:hAnsi="Times New Roman" w:cs="Times New Roman"/>
          <w:b/>
          <w:sz w:val="28"/>
          <w:szCs w:val="28"/>
        </w:rPr>
        <w:t>практики.</w:t>
      </w:r>
    </w:p>
    <w:p w:rsidR="009A0D9E" w:rsidRDefault="009A0D9E" w:rsidP="00525653">
      <w:pPr>
        <w:spacing w:after="0" w:line="360" w:lineRule="auto"/>
        <w:ind w:firstLine="709"/>
        <w:contextualSpacing/>
        <w:jc w:val="center"/>
        <w:rPr>
          <w:rFonts w:ascii="Times New Roman" w:hAnsi="Times New Roman" w:cs="Times New Roman"/>
          <w:b/>
          <w:sz w:val="28"/>
          <w:szCs w:val="28"/>
          <w:lang w:val="uk-UA"/>
        </w:rPr>
      </w:pPr>
    </w:p>
    <w:p w:rsidR="00154954" w:rsidRPr="00B23EEB" w:rsidRDefault="00154954" w:rsidP="00B23EEB">
      <w:pPr>
        <w:spacing w:after="0" w:line="360" w:lineRule="auto"/>
        <w:ind w:firstLine="709"/>
        <w:contextualSpacing/>
        <w:jc w:val="both"/>
        <w:rPr>
          <w:rFonts w:ascii="Times New Roman" w:hAnsi="Times New Roman" w:cs="Times New Roman"/>
          <w:sz w:val="28"/>
          <w:szCs w:val="28"/>
          <w:shd w:val="clear" w:color="auto" w:fill="FFFFFF"/>
        </w:rPr>
      </w:pPr>
      <w:r w:rsidRPr="00154954">
        <w:rPr>
          <w:rFonts w:ascii="Times New Roman" w:hAnsi="Times New Roman" w:cs="Times New Roman"/>
          <w:color w:val="000000"/>
          <w:sz w:val="28"/>
          <w:szCs w:val="28"/>
          <w:shd w:val="clear" w:color="auto" w:fill="FFFFFF"/>
          <w:lang w:val="uk-UA"/>
        </w:rPr>
        <w:t xml:space="preserve">Світова фінансова криза, що переросла в світову економічну кризу, по суті, є першою кризою, що носить глобальний характер і багато в чому є відповіддю міжнародної економіки на процеси глобалізації. </w:t>
      </w:r>
      <w:r w:rsidRPr="00686588">
        <w:rPr>
          <w:rFonts w:ascii="Times New Roman" w:hAnsi="Times New Roman" w:cs="Times New Roman"/>
          <w:color w:val="000000"/>
          <w:sz w:val="28"/>
          <w:szCs w:val="28"/>
          <w:shd w:val="clear" w:color="auto" w:fill="FFFFFF"/>
        </w:rPr>
        <w:t>Розвиток світового фінансового ринку протягом багатьох років характеризувався високими темпами росту, що випереджають зростання світового ВВП. За період з 19</w:t>
      </w:r>
      <w:r w:rsidR="00BE6581">
        <w:rPr>
          <w:rFonts w:ascii="Times New Roman" w:hAnsi="Times New Roman" w:cs="Times New Roman"/>
          <w:color w:val="000000"/>
          <w:sz w:val="28"/>
          <w:szCs w:val="28"/>
          <w:shd w:val="clear" w:color="auto" w:fill="FFFFFF"/>
        </w:rPr>
        <w:t>99</w:t>
      </w:r>
      <w:r w:rsidRPr="00686588">
        <w:rPr>
          <w:rFonts w:ascii="Times New Roman" w:hAnsi="Times New Roman" w:cs="Times New Roman"/>
          <w:color w:val="000000"/>
          <w:sz w:val="28"/>
          <w:szCs w:val="28"/>
          <w:shd w:val="clear" w:color="auto" w:fill="FFFFFF"/>
        </w:rPr>
        <w:t xml:space="preserve"> по </w:t>
      </w:r>
      <w:r w:rsidR="00BE6581">
        <w:rPr>
          <w:rFonts w:ascii="Times New Roman" w:hAnsi="Times New Roman" w:cs="Times New Roman"/>
          <w:color w:val="000000"/>
          <w:sz w:val="28"/>
          <w:szCs w:val="28"/>
          <w:shd w:val="clear" w:color="auto" w:fill="FFFFFF"/>
        </w:rPr>
        <w:t>2007</w:t>
      </w:r>
      <w:r w:rsidRPr="00686588">
        <w:rPr>
          <w:rFonts w:ascii="Times New Roman" w:hAnsi="Times New Roman" w:cs="Times New Roman"/>
          <w:color w:val="000000"/>
          <w:sz w:val="28"/>
          <w:szCs w:val="28"/>
          <w:shd w:val="clear" w:color="auto" w:fill="FFFFFF"/>
        </w:rPr>
        <w:t xml:space="preserve"> рр. світові </w:t>
      </w:r>
      <w:r w:rsidRPr="00B23EEB">
        <w:rPr>
          <w:rFonts w:ascii="Times New Roman" w:hAnsi="Times New Roman" w:cs="Times New Roman"/>
          <w:sz w:val="28"/>
          <w:szCs w:val="28"/>
          <w:shd w:val="clear" w:color="auto" w:fill="FFFFFF"/>
        </w:rPr>
        <w:t xml:space="preserve">фінансові активи збільшилися в чотири рази в порівнянні з обсягом світового ВВП. </w:t>
      </w:r>
    </w:p>
    <w:p w:rsidR="00154954" w:rsidRPr="00B23EEB" w:rsidRDefault="00154954" w:rsidP="00B23EEB">
      <w:pPr>
        <w:spacing w:after="0" w:line="360" w:lineRule="auto"/>
        <w:ind w:firstLine="709"/>
        <w:contextualSpacing/>
        <w:jc w:val="both"/>
        <w:rPr>
          <w:rFonts w:ascii="Times New Roman" w:hAnsi="Times New Roman" w:cs="Times New Roman"/>
          <w:sz w:val="28"/>
          <w:szCs w:val="28"/>
          <w:shd w:val="clear" w:color="auto" w:fill="FFFFFF"/>
        </w:rPr>
      </w:pPr>
      <w:r w:rsidRPr="00B23EEB">
        <w:rPr>
          <w:rFonts w:ascii="Times New Roman" w:hAnsi="Times New Roman" w:cs="Times New Roman"/>
          <w:sz w:val="28"/>
          <w:szCs w:val="28"/>
          <w:shd w:val="clear" w:color="auto" w:fill="FFFFFF"/>
        </w:rPr>
        <w:t xml:space="preserve">Тільки світовий ринок облігацій в 2007 р. майже вдвічі перевищував обсяг світового ВВП. В результаті такого розвитку світової економіки фінансова глибина ринку постійно зростала, досягнувши в 2007 р. 359 %  порівняно з 345 % в 2006 р., а сам світовий фінансовий ринок перетворився в самостійну нерегульовану і неконтрольовану систему, відірвану від реальної економіки. </w:t>
      </w:r>
    </w:p>
    <w:p w:rsidR="000E5652" w:rsidRDefault="000E5652" w:rsidP="00525653">
      <w:pPr>
        <w:pStyle w:val="a3"/>
        <w:spacing w:before="0" w:beforeAutospacing="0" w:after="0" w:afterAutospacing="0" w:line="360" w:lineRule="auto"/>
        <w:ind w:firstLine="709"/>
        <w:contextualSpacing/>
        <w:jc w:val="right"/>
        <w:rPr>
          <w:sz w:val="28"/>
          <w:szCs w:val="28"/>
          <w:lang w:val="uk-UA"/>
        </w:rPr>
      </w:pPr>
      <w:r>
        <w:rPr>
          <w:sz w:val="28"/>
          <w:szCs w:val="28"/>
          <w:lang w:val="uk-UA"/>
        </w:rPr>
        <w:t>Таблиця 2.1.1</w:t>
      </w:r>
    </w:p>
    <w:p w:rsidR="000E5652" w:rsidRPr="000E5652" w:rsidRDefault="00D5144A" w:rsidP="00525653">
      <w:pPr>
        <w:pStyle w:val="a3"/>
        <w:spacing w:before="0" w:beforeAutospacing="0" w:after="0" w:afterAutospacing="0" w:line="360" w:lineRule="auto"/>
        <w:ind w:firstLine="709"/>
        <w:contextualSpacing/>
        <w:jc w:val="center"/>
        <w:rPr>
          <w:sz w:val="28"/>
          <w:szCs w:val="28"/>
          <w:lang w:val="uk-UA"/>
        </w:rPr>
      </w:pPr>
      <w:r>
        <w:rPr>
          <w:sz w:val="28"/>
          <w:szCs w:val="28"/>
          <w:lang w:val="uk-UA"/>
        </w:rPr>
        <w:t>Обсяг світового ринку застосування облігацій (трлн дол..) з 1999р. по 2016р.</w:t>
      </w:r>
    </w:p>
    <w:tbl>
      <w:tblPr>
        <w:tblStyle w:val="a7"/>
        <w:tblW w:w="0" w:type="auto"/>
        <w:tblLook w:val="04A0" w:firstRow="1" w:lastRow="0" w:firstColumn="1" w:lastColumn="0" w:noHBand="0" w:noVBand="1"/>
      </w:tblPr>
      <w:tblGrid>
        <w:gridCol w:w="3652"/>
        <w:gridCol w:w="1134"/>
        <w:gridCol w:w="1276"/>
        <w:gridCol w:w="1559"/>
        <w:gridCol w:w="1276"/>
        <w:gridCol w:w="1240"/>
      </w:tblGrid>
      <w:tr w:rsidR="00BB7F65" w:rsidRPr="00D5144A" w:rsidTr="00BB7F65">
        <w:tc>
          <w:tcPr>
            <w:tcW w:w="3652" w:type="dxa"/>
          </w:tcPr>
          <w:p w:rsidR="00BB7F65" w:rsidRDefault="00BB7F65" w:rsidP="00525653">
            <w:pPr>
              <w:pStyle w:val="a3"/>
              <w:spacing w:before="0" w:beforeAutospacing="0" w:after="0" w:afterAutospacing="0" w:line="360" w:lineRule="auto"/>
              <w:ind w:firstLine="709"/>
              <w:contextualSpacing/>
              <w:jc w:val="both"/>
              <w:rPr>
                <w:sz w:val="28"/>
                <w:szCs w:val="28"/>
                <w:lang w:val="uk-UA"/>
              </w:rPr>
            </w:pPr>
            <w:r>
              <w:rPr>
                <w:sz w:val="28"/>
                <w:szCs w:val="28"/>
                <w:lang w:val="uk-UA"/>
              </w:rPr>
              <w:t>Види облігацій</w:t>
            </w:r>
          </w:p>
        </w:tc>
        <w:tc>
          <w:tcPr>
            <w:tcW w:w="1134" w:type="dxa"/>
          </w:tcPr>
          <w:p w:rsidR="00BB7F65" w:rsidRDefault="00BB7F65" w:rsidP="0043790C">
            <w:pPr>
              <w:pStyle w:val="a3"/>
              <w:spacing w:before="0" w:beforeAutospacing="0" w:after="0" w:afterAutospacing="0" w:line="360" w:lineRule="auto"/>
              <w:contextualSpacing/>
              <w:jc w:val="both"/>
              <w:rPr>
                <w:sz w:val="28"/>
                <w:szCs w:val="28"/>
                <w:lang w:val="uk-UA"/>
              </w:rPr>
            </w:pPr>
            <w:r>
              <w:rPr>
                <w:sz w:val="28"/>
                <w:szCs w:val="28"/>
                <w:lang w:val="uk-UA"/>
              </w:rPr>
              <w:t>1999</w:t>
            </w:r>
          </w:p>
        </w:tc>
        <w:tc>
          <w:tcPr>
            <w:tcW w:w="1276" w:type="dxa"/>
          </w:tcPr>
          <w:p w:rsidR="00BB7F65" w:rsidRDefault="00BB7F65" w:rsidP="0043790C">
            <w:pPr>
              <w:pStyle w:val="a3"/>
              <w:spacing w:before="0" w:beforeAutospacing="0" w:after="0" w:afterAutospacing="0" w:line="360" w:lineRule="auto"/>
              <w:contextualSpacing/>
              <w:jc w:val="both"/>
              <w:rPr>
                <w:sz w:val="28"/>
                <w:szCs w:val="28"/>
                <w:lang w:val="uk-UA"/>
              </w:rPr>
            </w:pPr>
            <w:r>
              <w:rPr>
                <w:sz w:val="28"/>
                <w:szCs w:val="28"/>
                <w:lang w:val="uk-UA"/>
              </w:rPr>
              <w:t>2002</w:t>
            </w:r>
          </w:p>
        </w:tc>
        <w:tc>
          <w:tcPr>
            <w:tcW w:w="1559" w:type="dxa"/>
          </w:tcPr>
          <w:p w:rsidR="00BB7F65" w:rsidRDefault="00BB7F65" w:rsidP="0043790C">
            <w:pPr>
              <w:pStyle w:val="a3"/>
              <w:spacing w:before="0" w:beforeAutospacing="0" w:after="0" w:afterAutospacing="0" w:line="360" w:lineRule="auto"/>
              <w:contextualSpacing/>
              <w:jc w:val="both"/>
              <w:rPr>
                <w:sz w:val="28"/>
                <w:szCs w:val="28"/>
                <w:lang w:val="uk-UA"/>
              </w:rPr>
            </w:pPr>
            <w:r>
              <w:rPr>
                <w:sz w:val="28"/>
                <w:szCs w:val="28"/>
                <w:lang w:val="uk-UA"/>
              </w:rPr>
              <w:t>2006</w:t>
            </w:r>
          </w:p>
        </w:tc>
        <w:tc>
          <w:tcPr>
            <w:tcW w:w="1276" w:type="dxa"/>
          </w:tcPr>
          <w:p w:rsidR="00BB7F65" w:rsidRDefault="00BB7F65" w:rsidP="0043790C">
            <w:pPr>
              <w:pStyle w:val="a3"/>
              <w:spacing w:before="0" w:beforeAutospacing="0" w:after="0" w:afterAutospacing="0" w:line="360" w:lineRule="auto"/>
              <w:contextualSpacing/>
              <w:jc w:val="both"/>
              <w:rPr>
                <w:sz w:val="28"/>
                <w:szCs w:val="28"/>
                <w:lang w:val="uk-UA"/>
              </w:rPr>
            </w:pPr>
            <w:r>
              <w:rPr>
                <w:sz w:val="28"/>
                <w:szCs w:val="28"/>
                <w:lang w:val="uk-UA"/>
              </w:rPr>
              <w:t>2010</w:t>
            </w:r>
          </w:p>
        </w:tc>
        <w:tc>
          <w:tcPr>
            <w:tcW w:w="1240" w:type="dxa"/>
          </w:tcPr>
          <w:p w:rsidR="00BB7F65" w:rsidRDefault="00BB7F65" w:rsidP="0043790C">
            <w:pPr>
              <w:pStyle w:val="a3"/>
              <w:spacing w:before="0" w:beforeAutospacing="0" w:after="0" w:afterAutospacing="0" w:line="360" w:lineRule="auto"/>
              <w:contextualSpacing/>
              <w:jc w:val="both"/>
              <w:rPr>
                <w:sz w:val="28"/>
                <w:szCs w:val="28"/>
                <w:lang w:val="uk-UA"/>
              </w:rPr>
            </w:pPr>
            <w:r>
              <w:rPr>
                <w:sz w:val="28"/>
                <w:szCs w:val="28"/>
                <w:lang w:val="uk-UA"/>
              </w:rPr>
              <w:t>2016</w:t>
            </w:r>
          </w:p>
        </w:tc>
      </w:tr>
      <w:tr w:rsidR="00BB7F65" w:rsidRPr="00D5144A" w:rsidTr="00BB7F65">
        <w:tc>
          <w:tcPr>
            <w:tcW w:w="3652" w:type="dxa"/>
          </w:tcPr>
          <w:p w:rsidR="00BB7F65" w:rsidRDefault="00BB7F65" w:rsidP="0043790C">
            <w:pPr>
              <w:pStyle w:val="a3"/>
              <w:spacing w:before="0" w:beforeAutospacing="0" w:after="0" w:afterAutospacing="0" w:line="360" w:lineRule="auto"/>
              <w:contextualSpacing/>
              <w:jc w:val="both"/>
              <w:rPr>
                <w:sz w:val="28"/>
                <w:szCs w:val="28"/>
                <w:lang w:val="uk-UA"/>
              </w:rPr>
            </w:pPr>
            <w:r>
              <w:rPr>
                <w:sz w:val="28"/>
                <w:szCs w:val="28"/>
                <w:lang w:val="uk-UA"/>
              </w:rPr>
              <w:t>Корпоративні облігації</w:t>
            </w:r>
          </w:p>
        </w:tc>
        <w:tc>
          <w:tcPr>
            <w:tcW w:w="1134" w:type="dxa"/>
          </w:tcPr>
          <w:p w:rsidR="00BB7F65" w:rsidRDefault="00BB7F65" w:rsidP="0043790C">
            <w:pPr>
              <w:pStyle w:val="a3"/>
              <w:spacing w:before="0" w:beforeAutospacing="0" w:after="0" w:afterAutospacing="0" w:line="360" w:lineRule="auto"/>
              <w:contextualSpacing/>
              <w:jc w:val="both"/>
              <w:rPr>
                <w:sz w:val="28"/>
                <w:szCs w:val="28"/>
                <w:lang w:val="uk-UA"/>
              </w:rPr>
            </w:pPr>
            <w:r>
              <w:rPr>
                <w:sz w:val="28"/>
                <w:szCs w:val="28"/>
                <w:lang w:val="uk-UA"/>
              </w:rPr>
              <w:t>11,7</w:t>
            </w:r>
          </w:p>
        </w:tc>
        <w:tc>
          <w:tcPr>
            <w:tcW w:w="1276" w:type="dxa"/>
          </w:tcPr>
          <w:p w:rsidR="00BB7F65" w:rsidRDefault="00BB7F65" w:rsidP="0043790C">
            <w:pPr>
              <w:pStyle w:val="a3"/>
              <w:spacing w:before="0" w:beforeAutospacing="0" w:after="0" w:afterAutospacing="0" w:line="360" w:lineRule="auto"/>
              <w:contextualSpacing/>
              <w:jc w:val="both"/>
              <w:rPr>
                <w:sz w:val="28"/>
                <w:szCs w:val="28"/>
                <w:lang w:val="uk-UA"/>
              </w:rPr>
            </w:pPr>
            <w:r>
              <w:rPr>
                <w:sz w:val="28"/>
                <w:szCs w:val="28"/>
                <w:lang w:val="uk-UA"/>
              </w:rPr>
              <w:t>20,5</w:t>
            </w:r>
          </w:p>
        </w:tc>
        <w:tc>
          <w:tcPr>
            <w:tcW w:w="1559" w:type="dxa"/>
          </w:tcPr>
          <w:p w:rsidR="00BB7F65" w:rsidRDefault="00BB7F65" w:rsidP="0043790C">
            <w:pPr>
              <w:pStyle w:val="a3"/>
              <w:spacing w:before="0" w:beforeAutospacing="0" w:after="0" w:afterAutospacing="0" w:line="360" w:lineRule="auto"/>
              <w:contextualSpacing/>
              <w:jc w:val="both"/>
              <w:rPr>
                <w:sz w:val="28"/>
                <w:szCs w:val="28"/>
                <w:lang w:val="uk-UA"/>
              </w:rPr>
            </w:pPr>
            <w:r>
              <w:rPr>
                <w:sz w:val="28"/>
                <w:szCs w:val="28"/>
                <w:lang w:val="uk-UA"/>
              </w:rPr>
              <w:t>30,8</w:t>
            </w:r>
          </w:p>
        </w:tc>
        <w:tc>
          <w:tcPr>
            <w:tcW w:w="1276" w:type="dxa"/>
          </w:tcPr>
          <w:p w:rsidR="00BB7F65" w:rsidRDefault="00BB7F65" w:rsidP="0043790C">
            <w:pPr>
              <w:pStyle w:val="a3"/>
              <w:spacing w:before="0" w:beforeAutospacing="0" w:after="0" w:afterAutospacing="0" w:line="360" w:lineRule="auto"/>
              <w:contextualSpacing/>
              <w:jc w:val="both"/>
              <w:rPr>
                <w:sz w:val="28"/>
                <w:szCs w:val="28"/>
                <w:lang w:val="uk-UA"/>
              </w:rPr>
            </w:pPr>
            <w:r>
              <w:rPr>
                <w:sz w:val="28"/>
                <w:szCs w:val="28"/>
                <w:lang w:val="uk-UA"/>
              </w:rPr>
              <w:t>31,5</w:t>
            </w:r>
          </w:p>
        </w:tc>
        <w:tc>
          <w:tcPr>
            <w:tcW w:w="1240" w:type="dxa"/>
          </w:tcPr>
          <w:p w:rsidR="00BB7F65" w:rsidRDefault="00BB7F65" w:rsidP="0043790C">
            <w:pPr>
              <w:pStyle w:val="a3"/>
              <w:spacing w:before="0" w:beforeAutospacing="0" w:after="0" w:afterAutospacing="0" w:line="360" w:lineRule="auto"/>
              <w:contextualSpacing/>
              <w:jc w:val="both"/>
              <w:rPr>
                <w:sz w:val="28"/>
                <w:szCs w:val="28"/>
                <w:lang w:val="uk-UA"/>
              </w:rPr>
            </w:pPr>
            <w:r>
              <w:rPr>
                <w:sz w:val="28"/>
                <w:szCs w:val="28"/>
                <w:lang w:val="uk-UA"/>
              </w:rPr>
              <w:t>60,8</w:t>
            </w:r>
          </w:p>
        </w:tc>
      </w:tr>
      <w:tr w:rsidR="00BB7F65" w:rsidTr="00BB7F65">
        <w:tc>
          <w:tcPr>
            <w:tcW w:w="3652" w:type="dxa"/>
          </w:tcPr>
          <w:p w:rsidR="00BB7F65" w:rsidRDefault="00BB7F65" w:rsidP="0043790C">
            <w:pPr>
              <w:pStyle w:val="a3"/>
              <w:spacing w:before="0" w:beforeAutospacing="0" w:after="0" w:afterAutospacing="0" w:line="360" w:lineRule="auto"/>
              <w:contextualSpacing/>
              <w:jc w:val="both"/>
              <w:rPr>
                <w:sz w:val="28"/>
                <w:szCs w:val="28"/>
                <w:lang w:val="uk-UA"/>
              </w:rPr>
            </w:pPr>
            <w:r>
              <w:rPr>
                <w:sz w:val="28"/>
                <w:szCs w:val="28"/>
                <w:lang w:val="uk-UA"/>
              </w:rPr>
              <w:t>Державні облігації</w:t>
            </w:r>
          </w:p>
        </w:tc>
        <w:tc>
          <w:tcPr>
            <w:tcW w:w="1134" w:type="dxa"/>
          </w:tcPr>
          <w:p w:rsidR="00BB7F65" w:rsidRDefault="00BB7F65" w:rsidP="0043790C">
            <w:pPr>
              <w:pStyle w:val="a3"/>
              <w:spacing w:before="0" w:beforeAutospacing="0" w:after="0" w:afterAutospacing="0" w:line="360" w:lineRule="auto"/>
              <w:contextualSpacing/>
              <w:jc w:val="both"/>
              <w:rPr>
                <w:sz w:val="28"/>
                <w:szCs w:val="28"/>
                <w:lang w:val="uk-UA"/>
              </w:rPr>
            </w:pPr>
            <w:r>
              <w:rPr>
                <w:sz w:val="28"/>
                <w:szCs w:val="28"/>
                <w:lang w:val="uk-UA"/>
              </w:rPr>
              <w:t>10,5</w:t>
            </w:r>
          </w:p>
        </w:tc>
        <w:tc>
          <w:tcPr>
            <w:tcW w:w="1276" w:type="dxa"/>
          </w:tcPr>
          <w:p w:rsidR="00BB7F65" w:rsidRDefault="00BB7F65" w:rsidP="0043790C">
            <w:pPr>
              <w:pStyle w:val="a3"/>
              <w:spacing w:before="0" w:beforeAutospacing="0" w:after="0" w:afterAutospacing="0" w:line="360" w:lineRule="auto"/>
              <w:contextualSpacing/>
              <w:jc w:val="both"/>
              <w:rPr>
                <w:sz w:val="28"/>
                <w:szCs w:val="28"/>
                <w:lang w:val="uk-UA"/>
              </w:rPr>
            </w:pPr>
            <w:r>
              <w:rPr>
                <w:sz w:val="28"/>
                <w:szCs w:val="28"/>
                <w:lang w:val="uk-UA"/>
              </w:rPr>
              <w:t>14,5</w:t>
            </w:r>
          </w:p>
        </w:tc>
        <w:tc>
          <w:tcPr>
            <w:tcW w:w="1559" w:type="dxa"/>
          </w:tcPr>
          <w:p w:rsidR="00BB7F65" w:rsidRDefault="00BB7F65" w:rsidP="0043790C">
            <w:pPr>
              <w:pStyle w:val="a3"/>
              <w:spacing w:before="0" w:beforeAutospacing="0" w:after="0" w:afterAutospacing="0" w:line="360" w:lineRule="auto"/>
              <w:contextualSpacing/>
              <w:jc w:val="both"/>
              <w:rPr>
                <w:sz w:val="28"/>
                <w:szCs w:val="28"/>
                <w:lang w:val="uk-UA"/>
              </w:rPr>
            </w:pPr>
            <w:r>
              <w:rPr>
                <w:sz w:val="28"/>
                <w:szCs w:val="28"/>
                <w:lang w:val="uk-UA"/>
              </w:rPr>
              <w:t>20,5</w:t>
            </w:r>
          </w:p>
        </w:tc>
        <w:tc>
          <w:tcPr>
            <w:tcW w:w="1276" w:type="dxa"/>
          </w:tcPr>
          <w:p w:rsidR="00BB7F65" w:rsidRDefault="00BB7F65" w:rsidP="0043790C">
            <w:pPr>
              <w:pStyle w:val="a3"/>
              <w:spacing w:before="0" w:beforeAutospacing="0" w:after="0" w:afterAutospacing="0" w:line="360" w:lineRule="auto"/>
              <w:contextualSpacing/>
              <w:jc w:val="both"/>
              <w:rPr>
                <w:sz w:val="28"/>
                <w:szCs w:val="28"/>
                <w:lang w:val="uk-UA"/>
              </w:rPr>
            </w:pPr>
            <w:r>
              <w:rPr>
                <w:sz w:val="28"/>
                <w:szCs w:val="28"/>
                <w:lang w:val="uk-UA"/>
              </w:rPr>
              <w:t>21,2</w:t>
            </w:r>
          </w:p>
        </w:tc>
        <w:tc>
          <w:tcPr>
            <w:tcW w:w="1240" w:type="dxa"/>
          </w:tcPr>
          <w:p w:rsidR="00BB7F65" w:rsidRDefault="00BB7F65" w:rsidP="0043790C">
            <w:pPr>
              <w:pStyle w:val="a3"/>
              <w:spacing w:before="0" w:beforeAutospacing="0" w:after="0" w:afterAutospacing="0" w:line="360" w:lineRule="auto"/>
              <w:contextualSpacing/>
              <w:jc w:val="both"/>
              <w:rPr>
                <w:sz w:val="28"/>
                <w:szCs w:val="28"/>
                <w:lang w:val="uk-UA"/>
              </w:rPr>
            </w:pPr>
            <w:r>
              <w:rPr>
                <w:sz w:val="28"/>
                <w:szCs w:val="28"/>
                <w:lang w:val="uk-UA"/>
              </w:rPr>
              <w:t>32,4</w:t>
            </w:r>
          </w:p>
        </w:tc>
      </w:tr>
      <w:tr w:rsidR="00BB7F65" w:rsidTr="00BB7F65">
        <w:tc>
          <w:tcPr>
            <w:tcW w:w="3652" w:type="dxa"/>
          </w:tcPr>
          <w:p w:rsidR="00BB7F65" w:rsidRDefault="00BB7F65" w:rsidP="0043790C">
            <w:pPr>
              <w:pStyle w:val="a3"/>
              <w:spacing w:before="0" w:beforeAutospacing="0" w:after="0" w:afterAutospacing="0" w:line="360" w:lineRule="auto"/>
              <w:contextualSpacing/>
              <w:jc w:val="both"/>
              <w:rPr>
                <w:sz w:val="28"/>
                <w:szCs w:val="28"/>
                <w:lang w:val="uk-UA"/>
              </w:rPr>
            </w:pPr>
            <w:r>
              <w:rPr>
                <w:sz w:val="28"/>
                <w:szCs w:val="28"/>
                <w:lang w:val="uk-UA"/>
              </w:rPr>
              <w:t>Усього</w:t>
            </w:r>
          </w:p>
        </w:tc>
        <w:tc>
          <w:tcPr>
            <w:tcW w:w="1134" w:type="dxa"/>
          </w:tcPr>
          <w:p w:rsidR="00BB7F65" w:rsidRDefault="00BB7F65" w:rsidP="0043790C">
            <w:pPr>
              <w:pStyle w:val="a3"/>
              <w:spacing w:before="0" w:beforeAutospacing="0" w:after="0" w:afterAutospacing="0" w:line="360" w:lineRule="auto"/>
              <w:contextualSpacing/>
              <w:jc w:val="both"/>
              <w:rPr>
                <w:sz w:val="28"/>
                <w:szCs w:val="28"/>
                <w:lang w:val="uk-UA"/>
              </w:rPr>
            </w:pPr>
            <w:r>
              <w:rPr>
                <w:sz w:val="28"/>
                <w:szCs w:val="28"/>
                <w:lang w:val="uk-UA"/>
              </w:rPr>
              <w:t>22,2</w:t>
            </w:r>
          </w:p>
        </w:tc>
        <w:tc>
          <w:tcPr>
            <w:tcW w:w="1276" w:type="dxa"/>
          </w:tcPr>
          <w:p w:rsidR="00BB7F65" w:rsidRDefault="00BB7F65" w:rsidP="0043790C">
            <w:pPr>
              <w:pStyle w:val="a3"/>
              <w:spacing w:before="0" w:beforeAutospacing="0" w:after="0" w:afterAutospacing="0" w:line="360" w:lineRule="auto"/>
              <w:contextualSpacing/>
              <w:jc w:val="both"/>
              <w:rPr>
                <w:sz w:val="28"/>
                <w:szCs w:val="28"/>
                <w:lang w:val="uk-UA"/>
              </w:rPr>
            </w:pPr>
            <w:r>
              <w:rPr>
                <w:sz w:val="28"/>
                <w:szCs w:val="28"/>
                <w:lang w:val="uk-UA"/>
              </w:rPr>
              <w:t>35,0</w:t>
            </w:r>
          </w:p>
        </w:tc>
        <w:tc>
          <w:tcPr>
            <w:tcW w:w="1559" w:type="dxa"/>
          </w:tcPr>
          <w:p w:rsidR="00BB7F65" w:rsidRDefault="00BB7F65" w:rsidP="0043790C">
            <w:pPr>
              <w:pStyle w:val="a3"/>
              <w:spacing w:before="0" w:beforeAutospacing="0" w:after="0" w:afterAutospacing="0" w:line="360" w:lineRule="auto"/>
              <w:contextualSpacing/>
              <w:jc w:val="both"/>
              <w:rPr>
                <w:sz w:val="28"/>
                <w:szCs w:val="28"/>
                <w:lang w:val="uk-UA"/>
              </w:rPr>
            </w:pPr>
            <w:r>
              <w:rPr>
                <w:sz w:val="28"/>
                <w:szCs w:val="28"/>
                <w:lang w:val="uk-UA"/>
              </w:rPr>
              <w:t>51,3</w:t>
            </w:r>
          </w:p>
        </w:tc>
        <w:tc>
          <w:tcPr>
            <w:tcW w:w="1276" w:type="dxa"/>
          </w:tcPr>
          <w:p w:rsidR="00BB7F65" w:rsidRDefault="00BB7F65" w:rsidP="0043790C">
            <w:pPr>
              <w:pStyle w:val="a3"/>
              <w:spacing w:before="0" w:beforeAutospacing="0" w:after="0" w:afterAutospacing="0" w:line="360" w:lineRule="auto"/>
              <w:contextualSpacing/>
              <w:jc w:val="both"/>
              <w:rPr>
                <w:sz w:val="28"/>
                <w:szCs w:val="28"/>
                <w:lang w:val="uk-UA"/>
              </w:rPr>
            </w:pPr>
            <w:r>
              <w:rPr>
                <w:sz w:val="28"/>
                <w:szCs w:val="28"/>
                <w:lang w:val="uk-UA"/>
              </w:rPr>
              <w:t>52,7</w:t>
            </w:r>
          </w:p>
        </w:tc>
        <w:tc>
          <w:tcPr>
            <w:tcW w:w="1240" w:type="dxa"/>
          </w:tcPr>
          <w:p w:rsidR="00BB7F65" w:rsidRDefault="00BB7F65" w:rsidP="0043790C">
            <w:pPr>
              <w:pStyle w:val="a3"/>
              <w:spacing w:before="0" w:beforeAutospacing="0" w:after="0" w:afterAutospacing="0" w:line="360" w:lineRule="auto"/>
              <w:contextualSpacing/>
              <w:jc w:val="both"/>
              <w:rPr>
                <w:sz w:val="28"/>
                <w:szCs w:val="28"/>
                <w:lang w:val="uk-UA"/>
              </w:rPr>
            </w:pPr>
            <w:r>
              <w:rPr>
                <w:sz w:val="28"/>
                <w:szCs w:val="28"/>
                <w:lang w:val="uk-UA"/>
              </w:rPr>
              <w:t>93,2</w:t>
            </w:r>
          </w:p>
        </w:tc>
      </w:tr>
    </w:tbl>
    <w:p w:rsidR="004E27E4" w:rsidRDefault="004E27E4" w:rsidP="00F63998">
      <w:pPr>
        <w:pStyle w:val="a3"/>
        <w:spacing w:before="0" w:beforeAutospacing="0" w:after="0" w:afterAutospacing="0" w:line="360" w:lineRule="auto"/>
        <w:ind w:firstLine="709"/>
        <w:contextualSpacing/>
        <w:jc w:val="both"/>
        <w:rPr>
          <w:sz w:val="28"/>
          <w:szCs w:val="28"/>
          <w:lang w:val="uk-UA"/>
        </w:rPr>
      </w:pPr>
      <w:r>
        <w:rPr>
          <w:sz w:val="28"/>
          <w:szCs w:val="28"/>
          <w:lang w:val="uk-UA"/>
        </w:rPr>
        <w:t xml:space="preserve">Таким чином з таблиці 2.1.1 видно, що обсяг корпоративних і державних облігацій стрімко росте з кожним роком. Найбільший </w:t>
      </w:r>
      <w:r w:rsidR="00F63998">
        <w:rPr>
          <w:sz w:val="28"/>
          <w:szCs w:val="28"/>
          <w:lang w:val="uk-UA"/>
        </w:rPr>
        <w:t>ріст облігацій відбувався у період з 2010 по 2016 роки.</w:t>
      </w:r>
    </w:p>
    <w:p w:rsidR="00F63998" w:rsidRDefault="00F63998" w:rsidP="00F63998">
      <w:pPr>
        <w:pStyle w:val="a3"/>
        <w:spacing w:before="0" w:beforeAutospacing="0" w:after="0" w:afterAutospacing="0" w:line="360" w:lineRule="auto"/>
        <w:ind w:firstLine="709"/>
        <w:contextualSpacing/>
        <w:jc w:val="both"/>
        <w:rPr>
          <w:sz w:val="28"/>
          <w:szCs w:val="28"/>
          <w:lang w:val="uk-UA"/>
        </w:rPr>
      </w:pPr>
    </w:p>
    <w:p w:rsidR="00F63998" w:rsidRDefault="00F63998" w:rsidP="00F63998">
      <w:pPr>
        <w:pStyle w:val="a3"/>
        <w:spacing w:before="0" w:beforeAutospacing="0" w:after="0" w:afterAutospacing="0" w:line="360" w:lineRule="auto"/>
        <w:ind w:firstLine="709"/>
        <w:contextualSpacing/>
        <w:jc w:val="both"/>
        <w:rPr>
          <w:sz w:val="28"/>
          <w:szCs w:val="28"/>
          <w:lang w:val="uk-UA"/>
        </w:rPr>
      </w:pPr>
    </w:p>
    <w:p w:rsidR="00F63998" w:rsidRDefault="00F63998" w:rsidP="00F63998">
      <w:pPr>
        <w:pStyle w:val="a3"/>
        <w:spacing w:before="0" w:beforeAutospacing="0" w:after="0" w:afterAutospacing="0" w:line="360" w:lineRule="auto"/>
        <w:ind w:firstLine="709"/>
        <w:contextualSpacing/>
        <w:jc w:val="both"/>
        <w:rPr>
          <w:sz w:val="28"/>
          <w:szCs w:val="28"/>
          <w:lang w:val="uk-UA"/>
        </w:rPr>
      </w:pPr>
    </w:p>
    <w:p w:rsidR="00BB7F65" w:rsidRDefault="00D5144A" w:rsidP="00525653">
      <w:pPr>
        <w:pStyle w:val="a3"/>
        <w:spacing w:before="0" w:beforeAutospacing="0" w:after="0" w:afterAutospacing="0" w:line="360" w:lineRule="auto"/>
        <w:ind w:firstLine="709"/>
        <w:contextualSpacing/>
        <w:jc w:val="right"/>
        <w:rPr>
          <w:sz w:val="28"/>
          <w:szCs w:val="28"/>
          <w:lang w:val="uk-UA"/>
        </w:rPr>
      </w:pPr>
      <w:r>
        <w:rPr>
          <w:sz w:val="28"/>
          <w:szCs w:val="28"/>
          <w:lang w:val="uk-UA"/>
        </w:rPr>
        <w:lastRenderedPageBreak/>
        <w:t>Таблиця 2.1.2</w:t>
      </w:r>
    </w:p>
    <w:p w:rsidR="00D5144A" w:rsidRDefault="00D5144A" w:rsidP="00525653">
      <w:pPr>
        <w:pStyle w:val="a3"/>
        <w:spacing w:before="0" w:beforeAutospacing="0" w:after="0" w:afterAutospacing="0" w:line="360" w:lineRule="auto"/>
        <w:ind w:firstLine="709"/>
        <w:contextualSpacing/>
        <w:jc w:val="center"/>
        <w:rPr>
          <w:sz w:val="28"/>
          <w:szCs w:val="28"/>
          <w:lang w:val="uk-UA"/>
        </w:rPr>
      </w:pPr>
      <w:r>
        <w:rPr>
          <w:sz w:val="28"/>
          <w:szCs w:val="28"/>
          <w:lang w:val="uk-UA"/>
        </w:rPr>
        <w:t>Регіональна структура світового ринку застосування облігацій.</w:t>
      </w:r>
    </w:p>
    <w:tbl>
      <w:tblPr>
        <w:tblStyle w:val="a7"/>
        <w:tblW w:w="0" w:type="auto"/>
        <w:tblLook w:val="04A0" w:firstRow="1" w:lastRow="0" w:firstColumn="1" w:lastColumn="0" w:noHBand="0" w:noVBand="1"/>
      </w:tblPr>
      <w:tblGrid>
        <w:gridCol w:w="2376"/>
        <w:gridCol w:w="2835"/>
        <w:gridCol w:w="2552"/>
        <w:gridCol w:w="1417"/>
        <w:gridCol w:w="957"/>
      </w:tblGrid>
      <w:tr w:rsidR="0080158F" w:rsidTr="0080158F">
        <w:trPr>
          <w:trHeight w:val="435"/>
        </w:trPr>
        <w:tc>
          <w:tcPr>
            <w:tcW w:w="2376" w:type="dxa"/>
            <w:vMerge w:val="restart"/>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Країни</w:t>
            </w:r>
          </w:p>
        </w:tc>
        <w:tc>
          <w:tcPr>
            <w:tcW w:w="2835" w:type="dxa"/>
            <w:vMerge w:val="restart"/>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Корпоративні облігації, трлн дол.</w:t>
            </w:r>
          </w:p>
        </w:tc>
        <w:tc>
          <w:tcPr>
            <w:tcW w:w="2552" w:type="dxa"/>
            <w:vMerge w:val="restart"/>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Державні облігації, трлн дол.</w:t>
            </w:r>
          </w:p>
        </w:tc>
        <w:tc>
          <w:tcPr>
            <w:tcW w:w="2374" w:type="dxa"/>
            <w:gridSpan w:val="2"/>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Обсяг ринку</w:t>
            </w:r>
          </w:p>
        </w:tc>
      </w:tr>
      <w:tr w:rsidR="0080158F" w:rsidTr="0080158F">
        <w:trPr>
          <w:trHeight w:val="525"/>
        </w:trPr>
        <w:tc>
          <w:tcPr>
            <w:tcW w:w="2376" w:type="dxa"/>
            <w:vMerge/>
          </w:tcPr>
          <w:p w:rsidR="0080158F" w:rsidRDefault="0080158F" w:rsidP="00525653">
            <w:pPr>
              <w:pStyle w:val="a3"/>
              <w:spacing w:before="0" w:beforeAutospacing="0" w:after="0" w:afterAutospacing="0" w:line="360" w:lineRule="auto"/>
              <w:ind w:firstLine="709"/>
              <w:contextualSpacing/>
              <w:jc w:val="both"/>
              <w:rPr>
                <w:sz w:val="28"/>
                <w:szCs w:val="28"/>
                <w:lang w:val="uk-UA"/>
              </w:rPr>
            </w:pPr>
          </w:p>
        </w:tc>
        <w:tc>
          <w:tcPr>
            <w:tcW w:w="2835" w:type="dxa"/>
            <w:vMerge/>
          </w:tcPr>
          <w:p w:rsidR="0080158F" w:rsidRDefault="0080158F" w:rsidP="00525653">
            <w:pPr>
              <w:pStyle w:val="a3"/>
              <w:spacing w:before="0" w:beforeAutospacing="0" w:after="0" w:afterAutospacing="0" w:line="360" w:lineRule="auto"/>
              <w:ind w:firstLine="709"/>
              <w:contextualSpacing/>
              <w:jc w:val="both"/>
              <w:rPr>
                <w:sz w:val="28"/>
                <w:szCs w:val="28"/>
                <w:lang w:val="uk-UA"/>
              </w:rPr>
            </w:pPr>
          </w:p>
        </w:tc>
        <w:tc>
          <w:tcPr>
            <w:tcW w:w="2552" w:type="dxa"/>
            <w:vMerge/>
          </w:tcPr>
          <w:p w:rsidR="0080158F" w:rsidRDefault="0080158F" w:rsidP="00525653">
            <w:pPr>
              <w:pStyle w:val="a3"/>
              <w:spacing w:before="0" w:beforeAutospacing="0" w:after="0" w:afterAutospacing="0" w:line="360" w:lineRule="auto"/>
              <w:ind w:firstLine="709"/>
              <w:contextualSpacing/>
              <w:jc w:val="both"/>
              <w:rPr>
                <w:sz w:val="28"/>
                <w:szCs w:val="28"/>
                <w:lang w:val="uk-UA"/>
              </w:rPr>
            </w:pPr>
          </w:p>
        </w:tc>
        <w:tc>
          <w:tcPr>
            <w:tcW w:w="1417"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Трлн дол</w:t>
            </w:r>
          </w:p>
        </w:tc>
        <w:tc>
          <w:tcPr>
            <w:tcW w:w="957"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w:t>
            </w:r>
          </w:p>
        </w:tc>
      </w:tr>
      <w:tr w:rsidR="0080158F" w:rsidTr="0080158F">
        <w:tc>
          <w:tcPr>
            <w:tcW w:w="2376"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США</w:t>
            </w:r>
          </w:p>
        </w:tc>
        <w:tc>
          <w:tcPr>
            <w:tcW w:w="2835" w:type="dxa"/>
          </w:tcPr>
          <w:p w:rsidR="0080158F" w:rsidRDefault="0080158F" w:rsidP="00D31738">
            <w:pPr>
              <w:pStyle w:val="a3"/>
              <w:spacing w:before="0" w:beforeAutospacing="0" w:after="0" w:afterAutospacing="0" w:line="360" w:lineRule="auto"/>
              <w:ind w:left="459"/>
              <w:contextualSpacing/>
              <w:jc w:val="center"/>
              <w:rPr>
                <w:sz w:val="28"/>
                <w:szCs w:val="28"/>
                <w:lang w:val="uk-UA"/>
              </w:rPr>
            </w:pPr>
            <w:r>
              <w:rPr>
                <w:sz w:val="28"/>
                <w:szCs w:val="28"/>
                <w:lang w:val="uk-UA"/>
              </w:rPr>
              <w:t>36</w:t>
            </w:r>
          </w:p>
        </w:tc>
        <w:tc>
          <w:tcPr>
            <w:tcW w:w="2552" w:type="dxa"/>
          </w:tcPr>
          <w:p w:rsidR="0080158F" w:rsidRDefault="0080158F" w:rsidP="00D31738">
            <w:pPr>
              <w:pStyle w:val="a3"/>
              <w:spacing w:before="0" w:beforeAutospacing="0" w:after="0" w:afterAutospacing="0" w:line="360" w:lineRule="auto"/>
              <w:ind w:left="459"/>
              <w:contextualSpacing/>
              <w:jc w:val="center"/>
              <w:rPr>
                <w:sz w:val="28"/>
                <w:szCs w:val="28"/>
                <w:lang w:val="uk-UA"/>
              </w:rPr>
            </w:pPr>
            <w:r>
              <w:rPr>
                <w:sz w:val="28"/>
                <w:szCs w:val="28"/>
                <w:lang w:val="uk-UA"/>
              </w:rPr>
              <w:t>12</w:t>
            </w:r>
          </w:p>
        </w:tc>
        <w:tc>
          <w:tcPr>
            <w:tcW w:w="1417"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48</w:t>
            </w:r>
          </w:p>
        </w:tc>
        <w:tc>
          <w:tcPr>
            <w:tcW w:w="957"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20,1</w:t>
            </w:r>
          </w:p>
        </w:tc>
      </w:tr>
      <w:tr w:rsidR="0080158F" w:rsidTr="0080158F">
        <w:tc>
          <w:tcPr>
            <w:tcW w:w="2376"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Єврозона</w:t>
            </w:r>
          </w:p>
        </w:tc>
        <w:tc>
          <w:tcPr>
            <w:tcW w:w="2835" w:type="dxa"/>
          </w:tcPr>
          <w:p w:rsidR="0080158F" w:rsidRDefault="0080158F" w:rsidP="00D31738">
            <w:pPr>
              <w:pStyle w:val="a3"/>
              <w:spacing w:before="0" w:beforeAutospacing="0" w:after="0" w:afterAutospacing="0" w:line="360" w:lineRule="auto"/>
              <w:ind w:left="459"/>
              <w:contextualSpacing/>
              <w:jc w:val="center"/>
              <w:rPr>
                <w:sz w:val="28"/>
                <w:szCs w:val="28"/>
                <w:lang w:val="uk-UA"/>
              </w:rPr>
            </w:pPr>
            <w:r>
              <w:rPr>
                <w:sz w:val="28"/>
                <w:szCs w:val="28"/>
                <w:lang w:val="uk-UA"/>
              </w:rPr>
              <w:t>29</w:t>
            </w:r>
          </w:p>
        </w:tc>
        <w:tc>
          <w:tcPr>
            <w:tcW w:w="2552" w:type="dxa"/>
          </w:tcPr>
          <w:p w:rsidR="0080158F" w:rsidRDefault="0080158F" w:rsidP="00D31738">
            <w:pPr>
              <w:pStyle w:val="a3"/>
              <w:spacing w:before="0" w:beforeAutospacing="0" w:after="0" w:afterAutospacing="0" w:line="360" w:lineRule="auto"/>
              <w:ind w:left="459"/>
              <w:contextualSpacing/>
              <w:jc w:val="center"/>
              <w:rPr>
                <w:sz w:val="28"/>
                <w:szCs w:val="28"/>
                <w:lang w:val="uk-UA"/>
              </w:rPr>
            </w:pPr>
            <w:r>
              <w:rPr>
                <w:sz w:val="28"/>
                <w:szCs w:val="28"/>
                <w:lang w:val="uk-UA"/>
              </w:rPr>
              <w:t>21</w:t>
            </w:r>
          </w:p>
        </w:tc>
        <w:tc>
          <w:tcPr>
            <w:tcW w:w="1417"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50</w:t>
            </w:r>
          </w:p>
        </w:tc>
        <w:tc>
          <w:tcPr>
            <w:tcW w:w="957"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21,0</w:t>
            </w:r>
          </w:p>
        </w:tc>
      </w:tr>
      <w:tr w:rsidR="0080158F" w:rsidTr="0080158F">
        <w:tc>
          <w:tcPr>
            <w:tcW w:w="2376"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Велика Британія</w:t>
            </w:r>
          </w:p>
        </w:tc>
        <w:tc>
          <w:tcPr>
            <w:tcW w:w="2835" w:type="dxa"/>
          </w:tcPr>
          <w:p w:rsidR="0080158F" w:rsidRDefault="0080158F" w:rsidP="00D31738">
            <w:pPr>
              <w:pStyle w:val="a3"/>
              <w:spacing w:before="0" w:beforeAutospacing="0" w:after="0" w:afterAutospacing="0" w:line="360" w:lineRule="auto"/>
              <w:ind w:left="459"/>
              <w:contextualSpacing/>
              <w:jc w:val="center"/>
              <w:rPr>
                <w:sz w:val="28"/>
                <w:szCs w:val="28"/>
                <w:lang w:val="uk-UA"/>
              </w:rPr>
            </w:pPr>
            <w:r>
              <w:rPr>
                <w:sz w:val="28"/>
                <w:szCs w:val="28"/>
                <w:lang w:val="uk-UA"/>
              </w:rPr>
              <w:t>30</w:t>
            </w:r>
          </w:p>
        </w:tc>
        <w:tc>
          <w:tcPr>
            <w:tcW w:w="2552" w:type="dxa"/>
          </w:tcPr>
          <w:p w:rsidR="0080158F" w:rsidRDefault="0080158F" w:rsidP="00D31738">
            <w:pPr>
              <w:pStyle w:val="a3"/>
              <w:spacing w:before="0" w:beforeAutospacing="0" w:after="0" w:afterAutospacing="0" w:line="360" w:lineRule="auto"/>
              <w:ind w:left="459"/>
              <w:contextualSpacing/>
              <w:jc w:val="center"/>
              <w:rPr>
                <w:sz w:val="28"/>
                <w:szCs w:val="28"/>
                <w:lang w:val="uk-UA"/>
              </w:rPr>
            </w:pPr>
            <w:r>
              <w:rPr>
                <w:sz w:val="28"/>
                <w:szCs w:val="28"/>
                <w:lang w:val="uk-UA"/>
              </w:rPr>
              <w:t>7</w:t>
            </w:r>
          </w:p>
        </w:tc>
        <w:tc>
          <w:tcPr>
            <w:tcW w:w="1417"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37</w:t>
            </w:r>
          </w:p>
        </w:tc>
        <w:tc>
          <w:tcPr>
            <w:tcW w:w="957"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15,4</w:t>
            </w:r>
          </w:p>
        </w:tc>
      </w:tr>
      <w:tr w:rsidR="0080158F" w:rsidTr="0080158F">
        <w:tc>
          <w:tcPr>
            <w:tcW w:w="2376"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Східна Європа</w:t>
            </w:r>
          </w:p>
        </w:tc>
        <w:tc>
          <w:tcPr>
            <w:tcW w:w="2835" w:type="dxa"/>
          </w:tcPr>
          <w:p w:rsidR="0080158F" w:rsidRDefault="0080158F" w:rsidP="00D31738">
            <w:pPr>
              <w:pStyle w:val="a3"/>
              <w:spacing w:before="0" w:beforeAutospacing="0" w:after="0" w:afterAutospacing="0" w:line="360" w:lineRule="auto"/>
              <w:ind w:left="459"/>
              <w:contextualSpacing/>
              <w:jc w:val="center"/>
              <w:rPr>
                <w:sz w:val="28"/>
                <w:szCs w:val="28"/>
                <w:lang w:val="uk-UA"/>
              </w:rPr>
            </w:pPr>
            <w:r>
              <w:rPr>
                <w:sz w:val="28"/>
                <w:szCs w:val="28"/>
                <w:lang w:val="uk-UA"/>
              </w:rPr>
              <w:t>3</w:t>
            </w:r>
          </w:p>
        </w:tc>
        <w:tc>
          <w:tcPr>
            <w:tcW w:w="2552" w:type="dxa"/>
          </w:tcPr>
          <w:p w:rsidR="0080158F" w:rsidRDefault="0080158F" w:rsidP="00D31738">
            <w:pPr>
              <w:pStyle w:val="a3"/>
              <w:spacing w:before="0" w:beforeAutospacing="0" w:after="0" w:afterAutospacing="0" w:line="360" w:lineRule="auto"/>
              <w:ind w:left="459"/>
              <w:contextualSpacing/>
              <w:jc w:val="center"/>
              <w:rPr>
                <w:sz w:val="28"/>
                <w:szCs w:val="28"/>
                <w:lang w:val="uk-UA"/>
              </w:rPr>
            </w:pPr>
            <w:r>
              <w:rPr>
                <w:sz w:val="28"/>
                <w:szCs w:val="28"/>
                <w:lang w:val="uk-UA"/>
              </w:rPr>
              <w:t>20</w:t>
            </w:r>
          </w:p>
        </w:tc>
        <w:tc>
          <w:tcPr>
            <w:tcW w:w="1417"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23</w:t>
            </w:r>
          </w:p>
        </w:tc>
        <w:tc>
          <w:tcPr>
            <w:tcW w:w="957"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9,6</w:t>
            </w:r>
          </w:p>
        </w:tc>
      </w:tr>
      <w:tr w:rsidR="0080158F" w:rsidTr="0080158F">
        <w:tc>
          <w:tcPr>
            <w:tcW w:w="2376"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Японія</w:t>
            </w:r>
          </w:p>
        </w:tc>
        <w:tc>
          <w:tcPr>
            <w:tcW w:w="2835" w:type="dxa"/>
          </w:tcPr>
          <w:p w:rsidR="0080158F" w:rsidRDefault="0080158F" w:rsidP="00D31738">
            <w:pPr>
              <w:pStyle w:val="a3"/>
              <w:spacing w:before="0" w:beforeAutospacing="0" w:after="0" w:afterAutospacing="0" w:line="360" w:lineRule="auto"/>
              <w:ind w:left="459"/>
              <w:contextualSpacing/>
              <w:jc w:val="center"/>
              <w:rPr>
                <w:sz w:val="28"/>
                <w:szCs w:val="28"/>
                <w:lang w:val="uk-UA"/>
              </w:rPr>
            </w:pPr>
            <w:r>
              <w:rPr>
                <w:sz w:val="28"/>
                <w:szCs w:val="28"/>
                <w:lang w:val="uk-UA"/>
              </w:rPr>
              <w:t>12</w:t>
            </w:r>
          </w:p>
        </w:tc>
        <w:tc>
          <w:tcPr>
            <w:tcW w:w="2552" w:type="dxa"/>
          </w:tcPr>
          <w:p w:rsidR="0080158F" w:rsidRDefault="0080158F" w:rsidP="00D31738">
            <w:pPr>
              <w:pStyle w:val="a3"/>
              <w:spacing w:before="0" w:beforeAutospacing="0" w:after="0" w:afterAutospacing="0" w:line="360" w:lineRule="auto"/>
              <w:ind w:left="459"/>
              <w:contextualSpacing/>
              <w:jc w:val="center"/>
              <w:rPr>
                <w:sz w:val="28"/>
                <w:szCs w:val="28"/>
                <w:lang w:val="uk-UA"/>
              </w:rPr>
            </w:pPr>
            <w:r>
              <w:rPr>
                <w:sz w:val="28"/>
                <w:szCs w:val="28"/>
                <w:lang w:val="uk-UA"/>
              </w:rPr>
              <w:t>35</w:t>
            </w:r>
          </w:p>
        </w:tc>
        <w:tc>
          <w:tcPr>
            <w:tcW w:w="1417"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47</w:t>
            </w:r>
          </w:p>
        </w:tc>
        <w:tc>
          <w:tcPr>
            <w:tcW w:w="957"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19,7</w:t>
            </w:r>
          </w:p>
        </w:tc>
      </w:tr>
      <w:tr w:rsidR="0080158F" w:rsidTr="0080158F">
        <w:tc>
          <w:tcPr>
            <w:tcW w:w="2376"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Китай</w:t>
            </w:r>
          </w:p>
        </w:tc>
        <w:tc>
          <w:tcPr>
            <w:tcW w:w="2835" w:type="dxa"/>
          </w:tcPr>
          <w:p w:rsidR="0080158F" w:rsidRDefault="0080158F" w:rsidP="00D31738">
            <w:pPr>
              <w:pStyle w:val="a3"/>
              <w:spacing w:before="0" w:beforeAutospacing="0" w:after="0" w:afterAutospacing="0" w:line="360" w:lineRule="auto"/>
              <w:ind w:left="459"/>
              <w:contextualSpacing/>
              <w:jc w:val="center"/>
              <w:rPr>
                <w:sz w:val="28"/>
                <w:szCs w:val="28"/>
                <w:lang w:val="uk-UA"/>
              </w:rPr>
            </w:pPr>
            <w:r>
              <w:rPr>
                <w:sz w:val="28"/>
                <w:szCs w:val="28"/>
                <w:lang w:val="uk-UA"/>
              </w:rPr>
              <w:t>5</w:t>
            </w:r>
          </w:p>
        </w:tc>
        <w:tc>
          <w:tcPr>
            <w:tcW w:w="2552" w:type="dxa"/>
          </w:tcPr>
          <w:p w:rsidR="0080158F" w:rsidRDefault="0080158F" w:rsidP="00D31738">
            <w:pPr>
              <w:pStyle w:val="a3"/>
              <w:spacing w:before="0" w:beforeAutospacing="0" w:after="0" w:afterAutospacing="0" w:line="360" w:lineRule="auto"/>
              <w:ind w:left="459"/>
              <w:contextualSpacing/>
              <w:jc w:val="center"/>
              <w:rPr>
                <w:sz w:val="28"/>
                <w:szCs w:val="28"/>
                <w:lang w:val="uk-UA"/>
              </w:rPr>
            </w:pPr>
            <w:r>
              <w:rPr>
                <w:sz w:val="28"/>
                <w:szCs w:val="28"/>
                <w:lang w:val="uk-UA"/>
              </w:rPr>
              <w:t>6</w:t>
            </w:r>
          </w:p>
        </w:tc>
        <w:tc>
          <w:tcPr>
            <w:tcW w:w="1417"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11</w:t>
            </w:r>
          </w:p>
        </w:tc>
        <w:tc>
          <w:tcPr>
            <w:tcW w:w="957"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4,6</w:t>
            </w:r>
          </w:p>
        </w:tc>
      </w:tr>
      <w:tr w:rsidR="0080158F" w:rsidTr="0080158F">
        <w:tc>
          <w:tcPr>
            <w:tcW w:w="2376"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 xml:space="preserve">Індія </w:t>
            </w:r>
          </w:p>
        </w:tc>
        <w:tc>
          <w:tcPr>
            <w:tcW w:w="2835" w:type="dxa"/>
          </w:tcPr>
          <w:p w:rsidR="0080158F" w:rsidRDefault="0080158F" w:rsidP="00D31738">
            <w:pPr>
              <w:pStyle w:val="a3"/>
              <w:spacing w:before="0" w:beforeAutospacing="0" w:after="0" w:afterAutospacing="0" w:line="360" w:lineRule="auto"/>
              <w:ind w:left="459"/>
              <w:contextualSpacing/>
              <w:jc w:val="center"/>
              <w:rPr>
                <w:sz w:val="28"/>
                <w:szCs w:val="28"/>
                <w:lang w:val="uk-UA"/>
              </w:rPr>
            </w:pPr>
            <w:r>
              <w:rPr>
                <w:sz w:val="28"/>
                <w:szCs w:val="28"/>
                <w:lang w:val="uk-UA"/>
              </w:rPr>
              <w:t>1</w:t>
            </w:r>
          </w:p>
        </w:tc>
        <w:tc>
          <w:tcPr>
            <w:tcW w:w="2552" w:type="dxa"/>
          </w:tcPr>
          <w:p w:rsidR="0080158F" w:rsidRDefault="0080158F" w:rsidP="00D31738">
            <w:pPr>
              <w:pStyle w:val="a3"/>
              <w:spacing w:before="0" w:beforeAutospacing="0" w:after="0" w:afterAutospacing="0" w:line="360" w:lineRule="auto"/>
              <w:ind w:left="459"/>
              <w:contextualSpacing/>
              <w:jc w:val="center"/>
              <w:rPr>
                <w:sz w:val="28"/>
                <w:szCs w:val="28"/>
                <w:lang w:val="uk-UA"/>
              </w:rPr>
            </w:pPr>
            <w:r>
              <w:rPr>
                <w:sz w:val="28"/>
                <w:szCs w:val="28"/>
                <w:lang w:val="uk-UA"/>
              </w:rPr>
              <w:t>22</w:t>
            </w:r>
          </w:p>
        </w:tc>
        <w:tc>
          <w:tcPr>
            <w:tcW w:w="1417"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23</w:t>
            </w:r>
          </w:p>
        </w:tc>
        <w:tc>
          <w:tcPr>
            <w:tcW w:w="957"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9,6</w:t>
            </w:r>
          </w:p>
        </w:tc>
      </w:tr>
      <w:tr w:rsidR="0080158F" w:rsidTr="0080158F">
        <w:tc>
          <w:tcPr>
            <w:tcW w:w="2376"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Усього:</w:t>
            </w:r>
          </w:p>
        </w:tc>
        <w:tc>
          <w:tcPr>
            <w:tcW w:w="2835" w:type="dxa"/>
          </w:tcPr>
          <w:p w:rsidR="0080158F" w:rsidRDefault="0080158F" w:rsidP="00D31738">
            <w:pPr>
              <w:pStyle w:val="a3"/>
              <w:spacing w:before="0" w:beforeAutospacing="0" w:after="0" w:afterAutospacing="0" w:line="360" w:lineRule="auto"/>
              <w:ind w:left="459"/>
              <w:contextualSpacing/>
              <w:jc w:val="center"/>
              <w:rPr>
                <w:sz w:val="28"/>
                <w:szCs w:val="28"/>
                <w:lang w:val="uk-UA"/>
              </w:rPr>
            </w:pPr>
            <w:r>
              <w:rPr>
                <w:sz w:val="28"/>
                <w:szCs w:val="28"/>
                <w:lang w:val="uk-UA"/>
              </w:rPr>
              <w:t>116</w:t>
            </w:r>
          </w:p>
        </w:tc>
        <w:tc>
          <w:tcPr>
            <w:tcW w:w="2552" w:type="dxa"/>
          </w:tcPr>
          <w:p w:rsidR="0080158F" w:rsidRDefault="0080158F" w:rsidP="00D31738">
            <w:pPr>
              <w:pStyle w:val="a3"/>
              <w:spacing w:before="0" w:beforeAutospacing="0" w:after="0" w:afterAutospacing="0" w:line="360" w:lineRule="auto"/>
              <w:ind w:left="459"/>
              <w:contextualSpacing/>
              <w:jc w:val="center"/>
              <w:rPr>
                <w:sz w:val="28"/>
                <w:szCs w:val="28"/>
                <w:lang w:val="uk-UA"/>
              </w:rPr>
            </w:pPr>
            <w:r>
              <w:rPr>
                <w:sz w:val="28"/>
                <w:szCs w:val="28"/>
                <w:lang w:val="uk-UA"/>
              </w:rPr>
              <w:t>123</w:t>
            </w:r>
          </w:p>
        </w:tc>
        <w:tc>
          <w:tcPr>
            <w:tcW w:w="1417"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229</w:t>
            </w:r>
          </w:p>
        </w:tc>
        <w:tc>
          <w:tcPr>
            <w:tcW w:w="957" w:type="dxa"/>
          </w:tcPr>
          <w:p w:rsidR="0080158F" w:rsidRDefault="0080158F" w:rsidP="0043790C">
            <w:pPr>
              <w:pStyle w:val="a3"/>
              <w:spacing w:before="0" w:beforeAutospacing="0" w:after="0" w:afterAutospacing="0" w:line="360" w:lineRule="auto"/>
              <w:contextualSpacing/>
              <w:jc w:val="both"/>
              <w:rPr>
                <w:sz w:val="28"/>
                <w:szCs w:val="28"/>
                <w:lang w:val="uk-UA"/>
              </w:rPr>
            </w:pPr>
            <w:r>
              <w:rPr>
                <w:sz w:val="28"/>
                <w:szCs w:val="28"/>
                <w:lang w:val="uk-UA"/>
              </w:rPr>
              <w:t>100</w:t>
            </w:r>
          </w:p>
        </w:tc>
      </w:tr>
    </w:tbl>
    <w:p w:rsidR="00F63998" w:rsidRDefault="00F63998" w:rsidP="00B23EEB">
      <w:pPr>
        <w:pStyle w:val="a5"/>
        <w:spacing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Проаналізувавши таблицю 2.1.2 можна зробити висновок, що </w:t>
      </w:r>
      <w:r w:rsidR="00D73A3C">
        <w:rPr>
          <w:rFonts w:ascii="Times New Roman" w:eastAsia="Times New Roman" w:hAnsi="Times New Roman" w:cs="Times New Roman"/>
          <w:sz w:val="28"/>
          <w:szCs w:val="28"/>
          <w:lang w:val="uk-UA"/>
        </w:rPr>
        <w:t xml:space="preserve">найбільшу частку світового ринку облігацій 80 % формують такі великі держави, як: США, Японія, Європа та Великобританія. </w:t>
      </w:r>
      <w:r w:rsidR="00247577">
        <w:rPr>
          <w:rFonts w:ascii="Times New Roman" w:eastAsia="Times New Roman" w:hAnsi="Times New Roman" w:cs="Times New Roman"/>
          <w:sz w:val="28"/>
          <w:szCs w:val="28"/>
          <w:lang w:val="uk-UA"/>
        </w:rPr>
        <w:t>Розвиток ринку облігацій йде дуже швидко, а за минулі 10  років взагалі зріз у 2,5 рази.</w:t>
      </w:r>
    </w:p>
    <w:p w:rsidR="003737B5" w:rsidRDefault="00247577" w:rsidP="00356316">
      <w:pPr>
        <w:pStyle w:val="a5"/>
        <w:spacing w:line="360" w:lineRule="auto"/>
        <w:ind w:firstLine="709"/>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rPr>
        <w:t xml:space="preserve">Загалом 25% короткочасних і приблизно 44% державних облігацій знаходяться у </w:t>
      </w:r>
      <w:r w:rsidR="00356316">
        <w:rPr>
          <w:rFonts w:ascii="Times New Roman" w:eastAsia="Times New Roman" w:hAnsi="Times New Roman" w:cs="Times New Roman"/>
          <w:sz w:val="28"/>
          <w:szCs w:val="28"/>
          <w:lang w:val="uk-UA"/>
        </w:rPr>
        <w:t>власності іноземних інвесторів. Це свідчить про досить стрімку глобалізацію ринку.</w:t>
      </w:r>
      <w:r w:rsidR="00BB7F65" w:rsidRPr="00D5144A">
        <w:rPr>
          <w:rFonts w:ascii="Times New Roman" w:eastAsia="Times New Roman" w:hAnsi="Times New Roman" w:cs="Times New Roman"/>
          <w:sz w:val="28"/>
          <w:szCs w:val="28"/>
          <w:lang w:val="uk-UA" w:eastAsia="uk-UA"/>
        </w:rPr>
        <w:t>[</w:t>
      </w:r>
      <w:r w:rsidR="00123942">
        <w:rPr>
          <w:rFonts w:ascii="Times New Roman" w:eastAsia="Times New Roman" w:hAnsi="Times New Roman" w:cs="Times New Roman"/>
          <w:sz w:val="28"/>
          <w:szCs w:val="28"/>
          <w:lang w:val="uk-UA" w:eastAsia="uk-UA"/>
        </w:rPr>
        <w:t>21</w:t>
      </w:r>
      <w:r w:rsidR="00BB7F65" w:rsidRPr="00D5144A">
        <w:rPr>
          <w:rFonts w:ascii="Times New Roman" w:eastAsia="Times New Roman" w:hAnsi="Times New Roman" w:cs="Times New Roman"/>
          <w:sz w:val="28"/>
          <w:szCs w:val="28"/>
          <w:lang w:val="uk-UA" w:eastAsia="uk-UA"/>
        </w:rPr>
        <w:t>, с. 262].</w:t>
      </w:r>
    </w:p>
    <w:p w:rsidR="00356316" w:rsidRDefault="00356316" w:rsidP="00356316">
      <w:pPr>
        <w:pStyle w:val="a5"/>
        <w:spacing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На сьогодні найбільш швидко розвивається фінансовий ринок Китаю. </w:t>
      </w:r>
      <w:r w:rsidR="008A0003">
        <w:rPr>
          <w:rFonts w:ascii="Times New Roman" w:eastAsia="Times New Roman" w:hAnsi="Times New Roman" w:cs="Times New Roman"/>
          <w:sz w:val="28"/>
          <w:szCs w:val="28"/>
          <w:lang w:val="uk-UA" w:eastAsia="uk-UA"/>
        </w:rPr>
        <w:t>Він за своєю структурою і обсягом випередив такі країни як: Німеччина, Франція і Великобританія. Китай займає третє місце в світі після Японії і США.</w:t>
      </w:r>
    </w:p>
    <w:p w:rsidR="0068290E" w:rsidRDefault="0068290E" w:rsidP="00B23EEB">
      <w:pPr>
        <w:spacing w:after="0" w:line="360" w:lineRule="auto"/>
        <w:ind w:firstLine="709"/>
        <w:contextualSpacing/>
        <w:jc w:val="both"/>
        <w:rPr>
          <w:rFonts w:ascii="Times New Roman" w:hAnsi="Times New Roman" w:cs="Times New Roman"/>
          <w:color w:val="000000"/>
          <w:sz w:val="28"/>
          <w:szCs w:val="28"/>
          <w:shd w:val="clear" w:color="auto" w:fill="FFFFFF"/>
        </w:rPr>
      </w:pPr>
      <w:r w:rsidRPr="00686588">
        <w:rPr>
          <w:rFonts w:ascii="Times New Roman" w:hAnsi="Times New Roman" w:cs="Times New Roman"/>
          <w:color w:val="000000"/>
          <w:sz w:val="28"/>
          <w:szCs w:val="28"/>
          <w:shd w:val="clear" w:color="auto" w:fill="FFFFFF"/>
        </w:rPr>
        <w:t xml:space="preserve">В умовах світової фінансової кризи (особливо починаючи з 2008 р.) у всьому світі простежується тенденція різкого скорочення обсягів боргового фінансування. Особливо впали сегменти ринку облігацій, номінованих у євро і доларах – на 94% і 90% відповідно, що підтверджує більшу вразливість і залежність ринку міжнародних цінних паперів від зовнішніх сил, що цей ринок не регулюється державою і непідконтрольний йому. У зв'язку з цим різко зросли </w:t>
      </w:r>
      <w:r w:rsidRPr="00686588">
        <w:rPr>
          <w:rFonts w:ascii="Times New Roman" w:hAnsi="Times New Roman" w:cs="Times New Roman"/>
          <w:color w:val="000000"/>
          <w:sz w:val="28"/>
          <w:szCs w:val="28"/>
          <w:shd w:val="clear" w:color="auto" w:fill="FFFFFF"/>
        </w:rPr>
        <w:lastRenderedPageBreak/>
        <w:t xml:space="preserve">обсяги облігаційних випусків, номінованих у національній валюті (з 0,5% до 9% в 2007 р.). </w:t>
      </w:r>
      <w:r w:rsidR="004B3A69" w:rsidRPr="00154954">
        <w:rPr>
          <w:rFonts w:ascii="Times New Roman" w:eastAsia="Times New Roman" w:hAnsi="Times New Roman" w:cs="Times New Roman"/>
          <w:sz w:val="28"/>
          <w:szCs w:val="28"/>
        </w:rPr>
        <w:t>[</w:t>
      </w:r>
      <w:r w:rsidR="004B3A69">
        <w:rPr>
          <w:rFonts w:ascii="Times New Roman" w:eastAsia="Times New Roman" w:hAnsi="Times New Roman" w:cs="Times New Roman"/>
          <w:sz w:val="28"/>
          <w:szCs w:val="28"/>
          <w:lang w:val="uk-UA"/>
        </w:rPr>
        <w:t>9</w:t>
      </w:r>
      <w:r w:rsidR="004B3A69" w:rsidRPr="00154954">
        <w:rPr>
          <w:rFonts w:ascii="Times New Roman" w:eastAsia="Times New Roman" w:hAnsi="Times New Roman" w:cs="Times New Roman"/>
          <w:sz w:val="28"/>
          <w:szCs w:val="28"/>
        </w:rPr>
        <w:t>]</w:t>
      </w:r>
    </w:p>
    <w:p w:rsidR="0068290E" w:rsidRDefault="0068290E" w:rsidP="00B23EEB">
      <w:pPr>
        <w:spacing w:after="0" w:line="360" w:lineRule="auto"/>
        <w:ind w:firstLine="709"/>
        <w:contextualSpacing/>
        <w:jc w:val="both"/>
        <w:rPr>
          <w:rFonts w:ascii="Times New Roman" w:hAnsi="Times New Roman" w:cs="Times New Roman"/>
          <w:color w:val="000000"/>
          <w:sz w:val="28"/>
          <w:szCs w:val="28"/>
          <w:shd w:val="clear" w:color="auto" w:fill="FFFFFF"/>
        </w:rPr>
      </w:pPr>
      <w:r w:rsidRPr="00686588">
        <w:rPr>
          <w:rFonts w:ascii="Times New Roman" w:hAnsi="Times New Roman" w:cs="Times New Roman"/>
          <w:color w:val="000000"/>
          <w:sz w:val="28"/>
          <w:szCs w:val="28"/>
          <w:shd w:val="clear" w:color="auto" w:fill="FFFFFF"/>
        </w:rPr>
        <w:t xml:space="preserve">Найбільший спад відбувся з боку американських, французьких і бельгійських позичальників. За перше півріччя 2009 року 178 компаній оголосили дефолт за боргами на загальну суму 463,1 млрд. дол., з них 128 — в США. У 2008 р. за такий же період було оголошено 42 дефолту, а за весь 2008 рік — 126 на загальну суму 433 млрд. дол . </w:t>
      </w:r>
    </w:p>
    <w:p w:rsidR="0068290E" w:rsidRPr="00686588" w:rsidRDefault="0068290E" w:rsidP="00B23EEB">
      <w:pPr>
        <w:spacing w:after="0" w:line="360" w:lineRule="auto"/>
        <w:ind w:firstLine="709"/>
        <w:contextualSpacing/>
        <w:jc w:val="both"/>
        <w:rPr>
          <w:rFonts w:ascii="Times New Roman" w:hAnsi="Times New Roman" w:cs="Times New Roman"/>
          <w:color w:val="000000"/>
          <w:sz w:val="28"/>
          <w:szCs w:val="28"/>
          <w:shd w:val="clear" w:color="auto" w:fill="FFFFFF"/>
        </w:rPr>
      </w:pPr>
      <w:r w:rsidRPr="00686588">
        <w:rPr>
          <w:rFonts w:ascii="Times New Roman" w:hAnsi="Times New Roman" w:cs="Times New Roman"/>
          <w:color w:val="000000"/>
          <w:sz w:val="28"/>
          <w:szCs w:val="28"/>
          <w:shd w:val="clear" w:color="auto" w:fill="FFFFFF"/>
        </w:rPr>
        <w:t xml:space="preserve">В країнах з економікою, що розвивається чистий випуск облігацій скоротився в 4 рази (до 11 млрд. дол.), в основному за рахунок європейських країн. Тільки російські позичальники скоротили чистий випуск облігацій </w:t>
      </w:r>
      <w:r>
        <w:rPr>
          <w:rFonts w:ascii="Times New Roman" w:hAnsi="Times New Roman" w:cs="Times New Roman"/>
          <w:color w:val="000000"/>
          <w:sz w:val="28"/>
          <w:szCs w:val="28"/>
          <w:shd w:val="clear" w:color="auto" w:fill="FFFFFF"/>
        </w:rPr>
        <w:t>з 13 млрд. дол. до 3 млрд. дол</w:t>
      </w:r>
      <w:r w:rsidRPr="00686588">
        <w:rPr>
          <w:rFonts w:ascii="Times New Roman" w:hAnsi="Times New Roman" w:cs="Times New Roman"/>
          <w:color w:val="000000"/>
          <w:sz w:val="28"/>
          <w:szCs w:val="28"/>
          <w:shd w:val="clear" w:color="auto" w:fill="FFFFFF"/>
        </w:rPr>
        <w:t>. Іноземні інвестиції в країни, що розвиваються, різко скоротилися (їх обсяг ледь перевищує погашення цих країн), відбулася «втеча в якість». Інвестори воліють вкладати кошти в більш надійні випуски, розміщені розвиненими країнами.</w:t>
      </w:r>
    </w:p>
    <w:p w:rsidR="00B23EEB" w:rsidRDefault="00B23EEB" w:rsidP="00B23EEB">
      <w:pPr>
        <w:spacing w:after="0" w:line="360" w:lineRule="auto"/>
        <w:ind w:firstLine="709"/>
        <w:contextualSpacing/>
        <w:jc w:val="both"/>
        <w:rPr>
          <w:rFonts w:ascii="Times New Roman" w:hAnsi="Times New Roman" w:cs="Times New Roman"/>
          <w:color w:val="000000"/>
          <w:sz w:val="28"/>
          <w:szCs w:val="28"/>
          <w:shd w:val="clear" w:color="auto" w:fill="FFFFFF"/>
        </w:rPr>
      </w:pPr>
      <w:r w:rsidRPr="00686588">
        <w:rPr>
          <w:rFonts w:ascii="Times New Roman" w:hAnsi="Times New Roman" w:cs="Times New Roman"/>
          <w:color w:val="000000"/>
          <w:sz w:val="28"/>
          <w:szCs w:val="28"/>
          <w:shd w:val="clear" w:color="auto" w:fill="FFFFFF"/>
        </w:rPr>
        <w:t>Поліпшення ситуації на світовому фінансовому ринку (у другому і третьому кварталі 2009 р.) позитивно позначилося на світовому ринку цінних п</w:t>
      </w:r>
      <w:r>
        <w:rPr>
          <w:rFonts w:ascii="Times New Roman" w:hAnsi="Times New Roman" w:cs="Times New Roman"/>
          <w:color w:val="000000"/>
          <w:sz w:val="28"/>
          <w:szCs w:val="28"/>
          <w:shd w:val="clear" w:color="auto" w:fill="FFFFFF"/>
        </w:rPr>
        <w:t>аперів</w:t>
      </w:r>
      <w:r w:rsidRPr="00686588">
        <w:rPr>
          <w:rFonts w:ascii="Times New Roman" w:hAnsi="Times New Roman" w:cs="Times New Roman"/>
          <w:color w:val="000000"/>
          <w:sz w:val="28"/>
          <w:szCs w:val="28"/>
          <w:shd w:val="clear" w:color="auto" w:fill="FFFFFF"/>
        </w:rPr>
        <w:t xml:space="preserve">, зростання якого за перший квартал 2009 р. склав 17% , що продовжило тенденцію, що намітилася з останнього кварталу 2008 р тенденцію. </w:t>
      </w:r>
    </w:p>
    <w:p w:rsidR="00B23EEB" w:rsidRDefault="00B23EEB" w:rsidP="00B23EEB">
      <w:pPr>
        <w:spacing w:after="0" w:line="360" w:lineRule="auto"/>
        <w:ind w:firstLine="709"/>
        <w:contextualSpacing/>
        <w:jc w:val="both"/>
        <w:rPr>
          <w:rFonts w:ascii="Times New Roman" w:hAnsi="Times New Roman" w:cs="Times New Roman"/>
          <w:color w:val="000000"/>
          <w:sz w:val="28"/>
          <w:szCs w:val="28"/>
          <w:shd w:val="clear" w:color="auto" w:fill="FFFFFF"/>
        </w:rPr>
      </w:pPr>
      <w:r w:rsidRPr="00686588">
        <w:rPr>
          <w:rFonts w:ascii="Times New Roman" w:hAnsi="Times New Roman" w:cs="Times New Roman"/>
          <w:color w:val="000000"/>
          <w:sz w:val="28"/>
          <w:szCs w:val="28"/>
          <w:shd w:val="clear" w:color="auto" w:fill="FFFFFF"/>
        </w:rPr>
        <w:t>Через скорочення банківського кредитування компанії стали більш активно звертатися до ринку цінних паперів (насамперед, до ринку облігацій) як до альтернативного та досить надійно</w:t>
      </w:r>
      <w:r>
        <w:rPr>
          <w:rFonts w:ascii="Times New Roman" w:hAnsi="Times New Roman" w:cs="Times New Roman"/>
          <w:color w:val="000000"/>
          <w:sz w:val="28"/>
          <w:szCs w:val="28"/>
          <w:shd w:val="clear" w:color="auto" w:fill="FFFFFF"/>
        </w:rPr>
        <w:t>го</w:t>
      </w:r>
      <w:r w:rsidRPr="00686588">
        <w:rPr>
          <w:rFonts w:ascii="Times New Roman" w:hAnsi="Times New Roman" w:cs="Times New Roman"/>
          <w:color w:val="000000"/>
          <w:sz w:val="28"/>
          <w:szCs w:val="28"/>
          <w:shd w:val="clear" w:color="auto" w:fill="FFFFFF"/>
        </w:rPr>
        <w:t xml:space="preserve"> джерел</w:t>
      </w:r>
      <w:r>
        <w:rPr>
          <w:rFonts w:ascii="Times New Roman" w:hAnsi="Times New Roman" w:cs="Times New Roman"/>
          <w:color w:val="000000"/>
          <w:sz w:val="28"/>
          <w:szCs w:val="28"/>
          <w:shd w:val="clear" w:color="auto" w:fill="FFFFFF"/>
        </w:rPr>
        <w:t>а</w:t>
      </w:r>
      <w:r w:rsidRPr="00686588">
        <w:rPr>
          <w:rFonts w:ascii="Times New Roman" w:hAnsi="Times New Roman" w:cs="Times New Roman"/>
          <w:color w:val="000000"/>
          <w:sz w:val="28"/>
          <w:szCs w:val="28"/>
          <w:shd w:val="clear" w:color="auto" w:fill="FFFFFF"/>
        </w:rPr>
        <w:t xml:space="preserve"> запозичення, правда, з більш високими ставками залучення капіталу. У зв'язку з цим, починаючи з останнього кварталу 2008 р., коли напруга, пов'язана з світов</w:t>
      </w:r>
      <w:r>
        <w:rPr>
          <w:rFonts w:ascii="Times New Roman" w:hAnsi="Times New Roman" w:cs="Times New Roman"/>
          <w:color w:val="000000"/>
          <w:sz w:val="28"/>
          <w:szCs w:val="28"/>
          <w:shd w:val="clear" w:color="auto" w:fill="FFFFFF"/>
        </w:rPr>
        <w:t xml:space="preserve">ою </w:t>
      </w:r>
      <w:r w:rsidRPr="00686588">
        <w:rPr>
          <w:rFonts w:ascii="Times New Roman" w:hAnsi="Times New Roman" w:cs="Times New Roman"/>
          <w:color w:val="000000"/>
          <w:sz w:val="28"/>
          <w:szCs w:val="28"/>
          <w:shd w:val="clear" w:color="auto" w:fill="FFFFFF"/>
        </w:rPr>
        <w:t>фінансов</w:t>
      </w:r>
      <w:r>
        <w:rPr>
          <w:rFonts w:ascii="Times New Roman" w:hAnsi="Times New Roman" w:cs="Times New Roman"/>
          <w:color w:val="000000"/>
          <w:sz w:val="28"/>
          <w:szCs w:val="28"/>
          <w:shd w:val="clear" w:color="auto" w:fill="FFFFFF"/>
        </w:rPr>
        <w:t>ою</w:t>
      </w:r>
      <w:r w:rsidRPr="00686588">
        <w:rPr>
          <w:rFonts w:ascii="Times New Roman" w:hAnsi="Times New Roman" w:cs="Times New Roman"/>
          <w:color w:val="000000"/>
          <w:sz w:val="28"/>
          <w:szCs w:val="28"/>
          <w:shd w:val="clear" w:color="auto" w:fill="FFFFFF"/>
        </w:rPr>
        <w:t xml:space="preserve"> кризою стал</w:t>
      </w:r>
      <w:r>
        <w:rPr>
          <w:rFonts w:ascii="Times New Roman" w:hAnsi="Times New Roman" w:cs="Times New Roman"/>
          <w:color w:val="000000"/>
          <w:sz w:val="28"/>
          <w:szCs w:val="28"/>
          <w:shd w:val="clear" w:color="auto" w:fill="FFFFFF"/>
        </w:rPr>
        <w:t>а</w:t>
      </w:r>
      <w:r w:rsidRPr="00686588">
        <w:rPr>
          <w:rFonts w:ascii="Times New Roman" w:hAnsi="Times New Roman" w:cs="Times New Roman"/>
          <w:color w:val="000000"/>
          <w:sz w:val="28"/>
          <w:szCs w:val="28"/>
          <w:shd w:val="clear" w:color="auto" w:fill="FFFFFF"/>
        </w:rPr>
        <w:t xml:space="preserve"> слабшати, запозичення на світовому ринку облігацій стали збільшуватися. Про зміцнення ринку свідчить і зсув ринку в бік облігацій за фіксованими ставками і зменшенням випусків з плаваючими ставками (у 2008 р. частка облігацій з плаваючими ставками становила близько 80%). </w:t>
      </w:r>
      <w:r w:rsidR="004B3A69" w:rsidRPr="00154954">
        <w:rPr>
          <w:rFonts w:ascii="Times New Roman" w:eastAsia="Times New Roman" w:hAnsi="Times New Roman" w:cs="Times New Roman"/>
          <w:sz w:val="28"/>
          <w:szCs w:val="28"/>
        </w:rPr>
        <w:t>[</w:t>
      </w:r>
      <w:r w:rsidR="004B3A69">
        <w:rPr>
          <w:rFonts w:ascii="Times New Roman" w:eastAsia="Times New Roman" w:hAnsi="Times New Roman" w:cs="Times New Roman"/>
          <w:sz w:val="28"/>
          <w:szCs w:val="28"/>
          <w:lang w:val="uk-UA"/>
        </w:rPr>
        <w:t>22</w:t>
      </w:r>
      <w:r w:rsidR="004B3A69" w:rsidRPr="00154954">
        <w:rPr>
          <w:rFonts w:ascii="Times New Roman" w:eastAsia="Times New Roman" w:hAnsi="Times New Roman" w:cs="Times New Roman"/>
          <w:sz w:val="28"/>
          <w:szCs w:val="28"/>
        </w:rPr>
        <w:t>]</w:t>
      </w:r>
    </w:p>
    <w:p w:rsidR="00B23EEB" w:rsidRDefault="00B23EEB" w:rsidP="00B23EEB">
      <w:pPr>
        <w:spacing w:after="0" w:line="360" w:lineRule="auto"/>
        <w:ind w:firstLine="709"/>
        <w:contextualSpacing/>
        <w:jc w:val="both"/>
        <w:rPr>
          <w:rFonts w:ascii="Times New Roman" w:hAnsi="Times New Roman" w:cs="Times New Roman"/>
          <w:color w:val="000000"/>
          <w:sz w:val="28"/>
          <w:szCs w:val="28"/>
          <w:shd w:val="clear" w:color="auto" w:fill="FFFFFF"/>
        </w:rPr>
      </w:pPr>
      <w:r w:rsidRPr="00686588">
        <w:rPr>
          <w:rFonts w:ascii="Times New Roman" w:hAnsi="Times New Roman" w:cs="Times New Roman"/>
          <w:color w:val="000000"/>
          <w:sz w:val="28"/>
          <w:szCs w:val="28"/>
          <w:shd w:val="clear" w:color="auto" w:fill="FFFFFF"/>
        </w:rPr>
        <w:t xml:space="preserve">Випуск облігацій країн з економікою, що розвивається з початку 2009 року склав 352 млрд. дол . (в основному номінованих у доларах і євро), що є рекордним показником за останні 50 років. Це пов'язано з тим, що, на відміну від великих </w:t>
      </w:r>
      <w:r w:rsidRPr="00686588">
        <w:rPr>
          <w:rFonts w:ascii="Times New Roman" w:hAnsi="Times New Roman" w:cs="Times New Roman"/>
          <w:color w:val="000000"/>
          <w:sz w:val="28"/>
          <w:szCs w:val="28"/>
          <w:shd w:val="clear" w:color="auto" w:fill="FFFFFF"/>
        </w:rPr>
        <w:lastRenderedPageBreak/>
        <w:t xml:space="preserve">компаній розвинених країн, компанії ринків, що розвиваються в плані якості розміщення спустилися на рівень 2005 р. – невеликі обсяги коштів під досить високі процентні ставки, можуть розміщуватися тільки компанії першого ешелону. </w:t>
      </w:r>
    </w:p>
    <w:p w:rsidR="00B23EEB" w:rsidRDefault="00B23EEB" w:rsidP="00B23EEB">
      <w:pPr>
        <w:spacing w:after="0" w:line="360" w:lineRule="auto"/>
        <w:ind w:firstLine="709"/>
        <w:contextualSpacing/>
        <w:jc w:val="both"/>
        <w:rPr>
          <w:rFonts w:ascii="Times New Roman" w:hAnsi="Times New Roman" w:cs="Times New Roman"/>
          <w:color w:val="000000"/>
          <w:sz w:val="28"/>
          <w:szCs w:val="28"/>
          <w:shd w:val="clear" w:color="auto" w:fill="FFFFFF"/>
        </w:rPr>
      </w:pPr>
      <w:r w:rsidRPr="00686588">
        <w:rPr>
          <w:rFonts w:ascii="Times New Roman" w:hAnsi="Times New Roman" w:cs="Times New Roman"/>
          <w:color w:val="000000"/>
          <w:sz w:val="28"/>
          <w:szCs w:val="28"/>
          <w:shd w:val="clear" w:color="auto" w:fill="FFFFFF"/>
        </w:rPr>
        <w:t>Незважаючи на здавалося б швидке відновлення ринку облігацій</w:t>
      </w:r>
      <w:r>
        <w:rPr>
          <w:rFonts w:ascii="Times New Roman" w:hAnsi="Times New Roman" w:cs="Times New Roman"/>
          <w:color w:val="000000"/>
          <w:sz w:val="28"/>
          <w:szCs w:val="28"/>
          <w:shd w:val="clear" w:color="auto" w:fill="FFFFFF"/>
        </w:rPr>
        <w:t>,</w:t>
      </w:r>
      <w:r w:rsidRPr="00686588">
        <w:rPr>
          <w:rFonts w:ascii="Times New Roman" w:hAnsi="Times New Roman" w:cs="Times New Roman"/>
          <w:color w:val="000000"/>
          <w:sz w:val="28"/>
          <w:szCs w:val="28"/>
          <w:shd w:val="clear" w:color="auto" w:fill="FFFFFF"/>
        </w:rPr>
        <w:t xml:space="preserve"> як альтернативного і надійного джерела фінансування в умовах кризи, його розвиток поки що відображає не реальні економічні процеси, а часто суб'єктивні думки і мотиви поведінки ін</w:t>
      </w:r>
      <w:r>
        <w:rPr>
          <w:rFonts w:ascii="Times New Roman" w:hAnsi="Times New Roman" w:cs="Times New Roman"/>
          <w:color w:val="000000"/>
          <w:sz w:val="28"/>
          <w:szCs w:val="28"/>
          <w:shd w:val="clear" w:color="auto" w:fill="FFFFFF"/>
        </w:rPr>
        <w:t xml:space="preserve">весторів, що відображається на </w:t>
      </w:r>
      <w:r w:rsidRPr="00686588">
        <w:rPr>
          <w:rFonts w:ascii="Times New Roman" w:hAnsi="Times New Roman" w:cs="Times New Roman"/>
          <w:color w:val="000000"/>
          <w:sz w:val="28"/>
          <w:szCs w:val="28"/>
          <w:shd w:val="clear" w:color="auto" w:fill="FFFFFF"/>
        </w:rPr>
        <w:t xml:space="preserve"> ринку. Крім того, антикризові зусилля розвинених країн в основному полягають в накачуванні ліквідності в економіку, яка повинна була б її стимулювати за рахунок низьких процентних ставок і розширення держвитрат (відповідно, зростання дефіцитів бюджетів і держборгу). Але на практиці проведення такої політики призводить до того, що замість стимулювання економіки ліквідність йде в роздування «бульбашок» на світових фінансових ринках. Завдяки цьому, фінансові ринки знову стали все більше відриватися від реальної економіки. </w:t>
      </w:r>
    </w:p>
    <w:p w:rsidR="0068290E" w:rsidRPr="0068290E" w:rsidRDefault="00B23EEB" w:rsidP="00B23EEB">
      <w:pPr>
        <w:spacing w:after="0" w:line="360" w:lineRule="auto"/>
        <w:ind w:firstLine="709"/>
        <w:contextualSpacing/>
        <w:jc w:val="both"/>
        <w:rPr>
          <w:rFonts w:ascii="Times New Roman" w:eastAsia="Times New Roman" w:hAnsi="Times New Roman" w:cs="Times New Roman"/>
          <w:sz w:val="28"/>
          <w:szCs w:val="28"/>
          <w:lang w:eastAsia="uk-UA"/>
        </w:rPr>
      </w:pPr>
      <w:r w:rsidRPr="00686588">
        <w:rPr>
          <w:rFonts w:ascii="Times New Roman" w:hAnsi="Times New Roman" w:cs="Times New Roman"/>
          <w:color w:val="000000"/>
          <w:sz w:val="28"/>
          <w:szCs w:val="28"/>
          <w:shd w:val="clear" w:color="auto" w:fill="FFFFFF"/>
        </w:rPr>
        <w:t>Тим не менш, слід зазначити, що, крім короткочасного періоду відновлення на ринках, які розвиваються діють і фундаментальні довгострокові фактори фінансового зростання. По-перше, у багатьох країнах існує високий відсоток заощаджень, які створюють значне джерело для інвестицій. По-друге, їм потрібні суттєві інфраструктурні зміни, що потребу</w:t>
      </w:r>
      <w:r>
        <w:rPr>
          <w:rFonts w:ascii="Times New Roman" w:hAnsi="Times New Roman" w:cs="Times New Roman"/>
          <w:color w:val="000000"/>
          <w:sz w:val="28"/>
          <w:szCs w:val="28"/>
          <w:shd w:val="clear" w:color="auto" w:fill="FFFFFF"/>
        </w:rPr>
        <w:t>ють</w:t>
      </w:r>
      <w:r w:rsidRPr="00686588">
        <w:rPr>
          <w:rFonts w:ascii="Times New Roman" w:hAnsi="Times New Roman" w:cs="Times New Roman"/>
          <w:color w:val="000000"/>
          <w:sz w:val="28"/>
          <w:szCs w:val="28"/>
          <w:shd w:val="clear" w:color="auto" w:fill="FFFFFF"/>
        </w:rPr>
        <w:t xml:space="preserve"> значного фінансування. </w:t>
      </w:r>
    </w:p>
    <w:p w:rsidR="003737B5" w:rsidRDefault="003737B5" w:rsidP="00525653">
      <w:pPr>
        <w:spacing w:after="0" w:line="360" w:lineRule="auto"/>
        <w:ind w:firstLine="709"/>
        <w:contextualSpacing/>
        <w:jc w:val="both"/>
        <w:rPr>
          <w:rFonts w:ascii="Times New Roman" w:hAnsi="Times New Roman" w:cs="Times New Roman"/>
          <w:sz w:val="28"/>
          <w:szCs w:val="28"/>
          <w:lang w:val="uk-UA"/>
        </w:rPr>
      </w:pPr>
    </w:p>
    <w:p w:rsidR="003737B5" w:rsidRDefault="003737B5" w:rsidP="00525653">
      <w:pPr>
        <w:spacing w:after="0" w:line="360" w:lineRule="auto"/>
        <w:ind w:firstLine="709"/>
        <w:contextualSpacing/>
        <w:jc w:val="center"/>
        <w:rPr>
          <w:rFonts w:ascii="Times New Roman" w:hAnsi="Times New Roman" w:cs="Times New Roman"/>
          <w:b/>
          <w:sz w:val="28"/>
          <w:szCs w:val="28"/>
          <w:lang w:val="uk-UA"/>
        </w:rPr>
      </w:pPr>
      <w:r w:rsidRPr="00F14024">
        <w:rPr>
          <w:rFonts w:ascii="Times New Roman" w:hAnsi="Times New Roman" w:cs="Times New Roman"/>
          <w:b/>
          <w:sz w:val="28"/>
          <w:szCs w:val="28"/>
          <w:lang w:val="uk-UA"/>
        </w:rPr>
        <w:t>2.2 Застосування корпоративних і державних облігацій в Україні.</w:t>
      </w:r>
    </w:p>
    <w:p w:rsidR="00FE125D" w:rsidRDefault="00FE125D" w:rsidP="00525653">
      <w:pPr>
        <w:spacing w:after="0" w:line="360" w:lineRule="auto"/>
        <w:ind w:firstLine="709"/>
        <w:contextualSpacing/>
        <w:jc w:val="center"/>
        <w:rPr>
          <w:rFonts w:ascii="Times New Roman" w:hAnsi="Times New Roman" w:cs="Times New Roman"/>
          <w:b/>
          <w:sz w:val="28"/>
          <w:szCs w:val="28"/>
          <w:lang w:val="uk-UA"/>
        </w:rPr>
      </w:pPr>
    </w:p>
    <w:p w:rsidR="00FE125D" w:rsidRDefault="00FE125D" w:rsidP="00FE125D">
      <w:pPr>
        <w:spacing w:after="0" w:line="360" w:lineRule="auto"/>
        <w:ind w:firstLine="709"/>
        <w:contextualSpacing/>
        <w:jc w:val="both"/>
        <w:rPr>
          <w:rFonts w:ascii="Times New Roman" w:hAnsi="Times New Roman" w:cs="Times New Roman"/>
          <w:sz w:val="28"/>
          <w:szCs w:val="28"/>
        </w:rPr>
      </w:pPr>
      <w:r w:rsidRPr="004A675F">
        <w:rPr>
          <w:rFonts w:ascii="Times New Roman" w:hAnsi="Times New Roman" w:cs="Times New Roman"/>
          <w:sz w:val="28"/>
          <w:szCs w:val="28"/>
        </w:rPr>
        <w:t>Для залучення ресурсів на фондовому ринку корпорації можуть емітувати акції або облігації. Випуск пайових ін</w:t>
      </w:r>
      <w:r>
        <w:rPr>
          <w:rFonts w:ascii="Times New Roman" w:hAnsi="Times New Roman" w:cs="Times New Roman"/>
          <w:sz w:val="28"/>
          <w:szCs w:val="28"/>
        </w:rPr>
        <w:t>струментів має ряд переваг, ос</w:t>
      </w:r>
      <w:r w:rsidRPr="004A675F">
        <w:rPr>
          <w:rFonts w:ascii="Times New Roman" w:hAnsi="Times New Roman" w:cs="Times New Roman"/>
          <w:sz w:val="28"/>
          <w:szCs w:val="28"/>
        </w:rPr>
        <w:t>новна з яких — відсутність необхідності повертати інвесторам отримані кошти. Разом із тим, к</w:t>
      </w:r>
      <w:r>
        <w:rPr>
          <w:rFonts w:ascii="Times New Roman" w:hAnsi="Times New Roman" w:cs="Times New Roman"/>
          <w:sz w:val="28"/>
          <w:szCs w:val="28"/>
        </w:rPr>
        <w:t>омпанія дещо поступається конт</w:t>
      </w:r>
      <w:r w:rsidRPr="004A675F">
        <w:rPr>
          <w:rFonts w:ascii="Times New Roman" w:hAnsi="Times New Roman" w:cs="Times New Roman"/>
          <w:sz w:val="28"/>
          <w:szCs w:val="28"/>
        </w:rPr>
        <w:t>ролем над прийняттям управлінських рішень і має д</w:t>
      </w:r>
      <w:r>
        <w:rPr>
          <w:rFonts w:ascii="Times New Roman" w:hAnsi="Times New Roman" w:cs="Times New Roman"/>
          <w:sz w:val="28"/>
          <w:szCs w:val="28"/>
        </w:rPr>
        <w:t>ілитись з ін</w:t>
      </w:r>
      <w:r w:rsidRPr="004A675F">
        <w:rPr>
          <w:rFonts w:ascii="Times New Roman" w:hAnsi="Times New Roman" w:cs="Times New Roman"/>
          <w:sz w:val="28"/>
          <w:szCs w:val="28"/>
        </w:rPr>
        <w:t xml:space="preserve">весторами частиною прибутку </w:t>
      </w:r>
      <w:r>
        <w:rPr>
          <w:rFonts w:ascii="Times New Roman" w:hAnsi="Times New Roman" w:cs="Times New Roman"/>
          <w:sz w:val="28"/>
          <w:szCs w:val="28"/>
        </w:rPr>
        <w:t xml:space="preserve">в разі його розподілу. </w:t>
      </w:r>
    </w:p>
    <w:p w:rsidR="00FE125D" w:rsidRDefault="00FE125D" w:rsidP="00FE125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Викорис</w:t>
      </w:r>
      <w:r w:rsidRPr="004A675F">
        <w:rPr>
          <w:rFonts w:ascii="Times New Roman" w:hAnsi="Times New Roman" w:cs="Times New Roman"/>
          <w:sz w:val="28"/>
          <w:szCs w:val="28"/>
        </w:rPr>
        <w:t xml:space="preserve">тання боргових інструментів передбачає повернення інвесторам їх коштів компанією, включно із платою за користування ними. Проте всі </w:t>
      </w:r>
      <w:r w:rsidRPr="004A675F">
        <w:rPr>
          <w:rFonts w:ascii="Times New Roman" w:hAnsi="Times New Roman" w:cs="Times New Roman"/>
          <w:sz w:val="28"/>
          <w:szCs w:val="28"/>
        </w:rPr>
        <w:lastRenderedPageBreak/>
        <w:t>зобов’язання емітента облігацій після їх погашення зникають. Таким чином, використання пайових і боргових інструментів є альтернативними способами залучення коштів, кожен із яких має свої особливості. Залежно від ці</w:t>
      </w:r>
      <w:r>
        <w:rPr>
          <w:rFonts w:ascii="Times New Roman" w:hAnsi="Times New Roman" w:cs="Times New Roman"/>
          <w:sz w:val="28"/>
          <w:szCs w:val="28"/>
        </w:rPr>
        <w:t>лей та особливостей роботи кор</w:t>
      </w:r>
      <w:r w:rsidRPr="004A675F">
        <w:rPr>
          <w:rFonts w:ascii="Times New Roman" w:hAnsi="Times New Roman" w:cs="Times New Roman"/>
          <w:sz w:val="28"/>
          <w:szCs w:val="28"/>
        </w:rPr>
        <w:t>порація може обрати один із них або ж скористатись обома. В</w:t>
      </w:r>
      <w:r>
        <w:rPr>
          <w:rFonts w:ascii="Times New Roman" w:hAnsi="Times New Roman" w:cs="Times New Roman"/>
          <w:sz w:val="28"/>
          <w:szCs w:val="28"/>
        </w:rPr>
        <w:t>ра</w:t>
      </w:r>
      <w:r w:rsidRPr="004A675F">
        <w:rPr>
          <w:rFonts w:ascii="Times New Roman" w:hAnsi="Times New Roman" w:cs="Times New Roman"/>
          <w:sz w:val="28"/>
          <w:szCs w:val="28"/>
        </w:rPr>
        <w:t>ховуючи відмінності між акціями та облігаціями, можна сказати, що вони не є прямими конкурентами: ті інвестори, які прагнуть</w:t>
      </w:r>
      <w:r>
        <w:rPr>
          <w:rFonts w:ascii="Times New Roman" w:hAnsi="Times New Roman" w:cs="Times New Roman"/>
          <w:sz w:val="28"/>
          <w:szCs w:val="28"/>
        </w:rPr>
        <w:t xml:space="preserve"> </w:t>
      </w:r>
      <w:r w:rsidRPr="004A675F">
        <w:rPr>
          <w:rFonts w:ascii="Times New Roman" w:hAnsi="Times New Roman" w:cs="Times New Roman"/>
          <w:sz w:val="28"/>
          <w:szCs w:val="28"/>
        </w:rPr>
        <w:t>більшої надійності та фіксованого доходу купують боргові і</w:t>
      </w:r>
      <w:r>
        <w:rPr>
          <w:rFonts w:ascii="Times New Roman" w:hAnsi="Times New Roman" w:cs="Times New Roman"/>
          <w:sz w:val="28"/>
          <w:szCs w:val="28"/>
        </w:rPr>
        <w:t>н</w:t>
      </w:r>
      <w:r w:rsidRPr="004A675F">
        <w:rPr>
          <w:rFonts w:ascii="Times New Roman" w:hAnsi="Times New Roman" w:cs="Times New Roman"/>
          <w:sz w:val="28"/>
          <w:szCs w:val="28"/>
        </w:rPr>
        <w:t>струменти; ті, хто згоден на ви</w:t>
      </w:r>
      <w:r>
        <w:rPr>
          <w:rFonts w:ascii="Times New Roman" w:hAnsi="Times New Roman" w:cs="Times New Roman"/>
          <w:sz w:val="28"/>
          <w:szCs w:val="28"/>
        </w:rPr>
        <w:t>щий ризик, сподіваючись отрима</w:t>
      </w:r>
      <w:r w:rsidRPr="004A675F">
        <w:rPr>
          <w:rFonts w:ascii="Times New Roman" w:hAnsi="Times New Roman" w:cs="Times New Roman"/>
          <w:sz w:val="28"/>
          <w:szCs w:val="28"/>
        </w:rPr>
        <w:t xml:space="preserve">ти значний прибуток за рахунок курсової різниці та дивідендних платежів, обирають пайові інструменти. </w:t>
      </w:r>
    </w:p>
    <w:p w:rsidR="00FE125D" w:rsidRDefault="00FE125D" w:rsidP="00FE125D">
      <w:pPr>
        <w:spacing w:after="0" w:line="360" w:lineRule="auto"/>
        <w:ind w:firstLine="709"/>
        <w:contextualSpacing/>
        <w:jc w:val="both"/>
        <w:rPr>
          <w:rFonts w:ascii="Times New Roman" w:hAnsi="Times New Roman" w:cs="Times New Roman"/>
          <w:sz w:val="28"/>
          <w:szCs w:val="28"/>
        </w:rPr>
      </w:pPr>
      <w:r w:rsidRPr="004A675F">
        <w:rPr>
          <w:rFonts w:ascii="Times New Roman" w:hAnsi="Times New Roman" w:cs="Times New Roman"/>
          <w:sz w:val="28"/>
          <w:szCs w:val="28"/>
        </w:rPr>
        <w:t>Ринок пайових інструментів</w:t>
      </w:r>
      <w:r>
        <w:rPr>
          <w:rFonts w:ascii="Times New Roman" w:hAnsi="Times New Roman" w:cs="Times New Roman"/>
          <w:sz w:val="28"/>
          <w:szCs w:val="28"/>
        </w:rPr>
        <w:t xml:space="preserve"> не обмежується акціями корпора</w:t>
      </w:r>
      <w:r w:rsidRPr="004A675F">
        <w:rPr>
          <w:rFonts w:ascii="Times New Roman" w:hAnsi="Times New Roman" w:cs="Times New Roman"/>
          <w:sz w:val="28"/>
          <w:szCs w:val="28"/>
        </w:rPr>
        <w:t>цій. До них також можна віднес</w:t>
      </w:r>
      <w:r>
        <w:rPr>
          <w:rFonts w:ascii="Times New Roman" w:hAnsi="Times New Roman" w:cs="Times New Roman"/>
          <w:sz w:val="28"/>
          <w:szCs w:val="28"/>
        </w:rPr>
        <w:t>ти інвестиційні сертифікати па</w:t>
      </w:r>
      <w:r w:rsidRPr="004A675F">
        <w:rPr>
          <w:rFonts w:ascii="Times New Roman" w:hAnsi="Times New Roman" w:cs="Times New Roman"/>
          <w:sz w:val="28"/>
          <w:szCs w:val="28"/>
        </w:rPr>
        <w:t>йових фондів, акції корпоративн</w:t>
      </w:r>
      <w:r>
        <w:rPr>
          <w:rFonts w:ascii="Times New Roman" w:hAnsi="Times New Roman" w:cs="Times New Roman"/>
          <w:sz w:val="28"/>
          <w:szCs w:val="28"/>
        </w:rPr>
        <w:t>их інвестиційних фондів, серти</w:t>
      </w:r>
      <w:r w:rsidRPr="004A675F">
        <w:rPr>
          <w:rFonts w:ascii="Times New Roman" w:hAnsi="Times New Roman" w:cs="Times New Roman"/>
          <w:sz w:val="28"/>
          <w:szCs w:val="28"/>
        </w:rPr>
        <w:t>фікати фондів операцій з неру</w:t>
      </w:r>
      <w:r>
        <w:rPr>
          <w:rFonts w:ascii="Times New Roman" w:hAnsi="Times New Roman" w:cs="Times New Roman"/>
          <w:sz w:val="28"/>
          <w:szCs w:val="28"/>
        </w:rPr>
        <w:t>хомістю. Проте прямими конкуре</w:t>
      </w:r>
      <w:r w:rsidRPr="004A675F">
        <w:rPr>
          <w:rFonts w:ascii="Times New Roman" w:hAnsi="Times New Roman" w:cs="Times New Roman"/>
          <w:sz w:val="28"/>
          <w:szCs w:val="28"/>
        </w:rPr>
        <w:t>нтами для акцій корпорацій інші пайові інструменти не виступають. Сертифікати фондів операцій з нер</w:t>
      </w:r>
      <w:r>
        <w:rPr>
          <w:rFonts w:ascii="Times New Roman" w:hAnsi="Times New Roman" w:cs="Times New Roman"/>
          <w:sz w:val="28"/>
          <w:szCs w:val="28"/>
        </w:rPr>
        <w:t>ухомістю, як слі</w:t>
      </w:r>
      <w:r w:rsidRPr="004A675F">
        <w:rPr>
          <w:rFonts w:ascii="Times New Roman" w:hAnsi="Times New Roman" w:cs="Times New Roman"/>
          <w:sz w:val="28"/>
          <w:szCs w:val="28"/>
        </w:rPr>
        <w:t>дує з їх назви, в першу чергу ор</w:t>
      </w:r>
      <w:r>
        <w:rPr>
          <w:rFonts w:ascii="Times New Roman" w:hAnsi="Times New Roman" w:cs="Times New Roman"/>
          <w:sz w:val="28"/>
          <w:szCs w:val="28"/>
        </w:rPr>
        <w:t>ієновані на інвесторів, що праг</w:t>
      </w:r>
      <w:r w:rsidRPr="004A675F">
        <w:rPr>
          <w:rFonts w:ascii="Times New Roman" w:hAnsi="Times New Roman" w:cs="Times New Roman"/>
          <w:sz w:val="28"/>
          <w:szCs w:val="28"/>
        </w:rPr>
        <w:t xml:space="preserve">нуть працювати з нерухомістю. </w:t>
      </w:r>
    </w:p>
    <w:p w:rsidR="00FE125D" w:rsidRDefault="00FE125D" w:rsidP="00FE125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Корпоративні та пайові інвести</w:t>
      </w:r>
      <w:r w:rsidRPr="004A675F">
        <w:rPr>
          <w:rFonts w:ascii="Times New Roman" w:hAnsi="Times New Roman" w:cs="Times New Roman"/>
          <w:sz w:val="28"/>
          <w:szCs w:val="28"/>
        </w:rPr>
        <w:t>ційні фонди самі виступають у ролі інституційних інвесторів, значною мірою вкладаючи кошти в акції компаній. Ринок боргових інструменті</w:t>
      </w:r>
      <w:r>
        <w:rPr>
          <w:rFonts w:ascii="Times New Roman" w:hAnsi="Times New Roman" w:cs="Times New Roman"/>
          <w:sz w:val="28"/>
          <w:szCs w:val="28"/>
        </w:rPr>
        <w:t>в також не обмежується корпора</w:t>
      </w:r>
      <w:r w:rsidRPr="004A675F">
        <w:rPr>
          <w:rFonts w:ascii="Times New Roman" w:hAnsi="Times New Roman" w:cs="Times New Roman"/>
          <w:sz w:val="28"/>
          <w:szCs w:val="28"/>
        </w:rPr>
        <w:t>тивними облігаціями. На ньому можна виділити також державні облігації, облігації місцевої позики, депозитні та ощадні се</w:t>
      </w:r>
      <w:r>
        <w:rPr>
          <w:rFonts w:ascii="Times New Roman" w:hAnsi="Times New Roman" w:cs="Times New Roman"/>
          <w:sz w:val="28"/>
          <w:szCs w:val="28"/>
        </w:rPr>
        <w:t>ртифі</w:t>
      </w:r>
      <w:r w:rsidRPr="004A675F">
        <w:rPr>
          <w:rFonts w:ascii="Times New Roman" w:hAnsi="Times New Roman" w:cs="Times New Roman"/>
          <w:sz w:val="28"/>
          <w:szCs w:val="28"/>
        </w:rPr>
        <w:t xml:space="preserve">кати, векселі тощо. Кожен із цих </w:t>
      </w:r>
      <w:r>
        <w:rPr>
          <w:rFonts w:ascii="Times New Roman" w:hAnsi="Times New Roman" w:cs="Times New Roman"/>
          <w:sz w:val="28"/>
          <w:szCs w:val="28"/>
        </w:rPr>
        <w:t>інструментів має власні особли</w:t>
      </w:r>
      <w:r w:rsidRPr="004A675F">
        <w:rPr>
          <w:rFonts w:ascii="Times New Roman" w:hAnsi="Times New Roman" w:cs="Times New Roman"/>
          <w:sz w:val="28"/>
          <w:szCs w:val="28"/>
        </w:rPr>
        <w:t xml:space="preserve">вості, проте інвестиційні якості їх подібні. Тому можна казати про те, що деякі з них виступають прямими конкурентами. Це стосується, передусім, корпоративних і державних облігацій. </w:t>
      </w:r>
    </w:p>
    <w:p w:rsidR="00FE125D" w:rsidRDefault="00FE125D" w:rsidP="00FE125D">
      <w:pPr>
        <w:spacing w:after="0" w:line="360" w:lineRule="auto"/>
        <w:ind w:firstLine="709"/>
        <w:contextualSpacing/>
        <w:jc w:val="both"/>
        <w:rPr>
          <w:rFonts w:ascii="Times New Roman" w:hAnsi="Times New Roman" w:cs="Times New Roman"/>
          <w:sz w:val="28"/>
          <w:szCs w:val="28"/>
        </w:rPr>
      </w:pPr>
      <w:r w:rsidRPr="004A675F">
        <w:rPr>
          <w:rFonts w:ascii="Times New Roman" w:hAnsi="Times New Roman" w:cs="Times New Roman"/>
          <w:sz w:val="28"/>
          <w:szCs w:val="28"/>
        </w:rPr>
        <w:t>На вітчизняному організованому ринку цінних паперів станом на 201</w:t>
      </w:r>
      <w:r>
        <w:rPr>
          <w:rFonts w:ascii="Times New Roman" w:hAnsi="Times New Roman" w:cs="Times New Roman"/>
          <w:sz w:val="28"/>
          <w:szCs w:val="28"/>
        </w:rPr>
        <w:t>6</w:t>
      </w:r>
      <w:r w:rsidRPr="004A675F">
        <w:rPr>
          <w:rFonts w:ascii="Times New Roman" w:hAnsi="Times New Roman" w:cs="Times New Roman"/>
          <w:sz w:val="28"/>
          <w:szCs w:val="28"/>
        </w:rPr>
        <w:t xml:space="preserve"> рік основними є боргові </w:t>
      </w:r>
      <w:r>
        <w:rPr>
          <w:rFonts w:ascii="Times New Roman" w:hAnsi="Times New Roman" w:cs="Times New Roman"/>
          <w:sz w:val="28"/>
          <w:szCs w:val="28"/>
        </w:rPr>
        <w:t>інструменти. Їх частка в біржо</w:t>
      </w:r>
      <w:r w:rsidRPr="004A675F">
        <w:rPr>
          <w:rFonts w:ascii="Times New Roman" w:hAnsi="Times New Roman" w:cs="Times New Roman"/>
          <w:sz w:val="28"/>
          <w:szCs w:val="28"/>
        </w:rPr>
        <w:t xml:space="preserve">вому обігу цінних паперів у сумі перевищує 93 % (рис. </w:t>
      </w:r>
      <w:r>
        <w:rPr>
          <w:rFonts w:ascii="Times New Roman" w:hAnsi="Times New Roman" w:cs="Times New Roman"/>
          <w:sz w:val="28"/>
          <w:szCs w:val="28"/>
        </w:rPr>
        <w:t>2.2.</w:t>
      </w:r>
      <w:r w:rsidRPr="004A675F">
        <w:rPr>
          <w:rFonts w:ascii="Times New Roman" w:hAnsi="Times New Roman" w:cs="Times New Roman"/>
          <w:sz w:val="28"/>
          <w:szCs w:val="28"/>
        </w:rPr>
        <w:t>1). Ринок пайових інструментів є набага</w:t>
      </w:r>
      <w:r>
        <w:rPr>
          <w:rFonts w:ascii="Times New Roman" w:hAnsi="Times New Roman" w:cs="Times New Roman"/>
          <w:sz w:val="28"/>
          <w:szCs w:val="28"/>
        </w:rPr>
        <w:t>то меншим. Обсяг біржових конт</w:t>
      </w:r>
      <w:r w:rsidRPr="004A675F">
        <w:rPr>
          <w:rFonts w:ascii="Times New Roman" w:hAnsi="Times New Roman" w:cs="Times New Roman"/>
          <w:sz w:val="28"/>
          <w:szCs w:val="28"/>
        </w:rPr>
        <w:t xml:space="preserve">рактів із ними менше 5 % від загального. На </w:t>
      </w:r>
      <w:r>
        <w:rPr>
          <w:rFonts w:ascii="Times New Roman" w:hAnsi="Times New Roman" w:cs="Times New Roman"/>
          <w:sz w:val="28"/>
          <w:szCs w:val="28"/>
        </w:rPr>
        <w:t>мою думку, ключо</w:t>
      </w:r>
      <w:r w:rsidRPr="004A675F">
        <w:rPr>
          <w:rFonts w:ascii="Times New Roman" w:hAnsi="Times New Roman" w:cs="Times New Roman"/>
          <w:sz w:val="28"/>
          <w:szCs w:val="28"/>
        </w:rPr>
        <w:t>вою причиною цього є високий р</w:t>
      </w:r>
      <w:r>
        <w:rPr>
          <w:rFonts w:ascii="Times New Roman" w:hAnsi="Times New Roman" w:cs="Times New Roman"/>
          <w:sz w:val="28"/>
          <w:szCs w:val="28"/>
        </w:rPr>
        <w:t>івень ризику, притаманний укра</w:t>
      </w:r>
      <w:r w:rsidRPr="004A675F">
        <w:rPr>
          <w:rFonts w:ascii="Times New Roman" w:hAnsi="Times New Roman" w:cs="Times New Roman"/>
          <w:sz w:val="28"/>
          <w:szCs w:val="28"/>
        </w:rPr>
        <w:t xml:space="preserve">їнському фондовому ринку та економіці в цілому. Інвестори прагнуть зменшити </w:t>
      </w:r>
      <w:r w:rsidRPr="004A675F">
        <w:rPr>
          <w:rFonts w:ascii="Times New Roman" w:hAnsi="Times New Roman" w:cs="Times New Roman"/>
          <w:sz w:val="28"/>
          <w:szCs w:val="28"/>
        </w:rPr>
        <w:lastRenderedPageBreak/>
        <w:t>невизначені</w:t>
      </w:r>
      <w:r>
        <w:rPr>
          <w:rFonts w:ascii="Times New Roman" w:hAnsi="Times New Roman" w:cs="Times New Roman"/>
          <w:sz w:val="28"/>
          <w:szCs w:val="28"/>
        </w:rPr>
        <w:t>сть, орієнтуючись на менш ризи</w:t>
      </w:r>
      <w:r w:rsidRPr="004A675F">
        <w:rPr>
          <w:rFonts w:ascii="Times New Roman" w:hAnsi="Times New Roman" w:cs="Times New Roman"/>
          <w:sz w:val="28"/>
          <w:szCs w:val="28"/>
        </w:rPr>
        <w:t>кові інструменти, які пропонують фіксований рівень дохідності. Йдеться, передусім, про державні облігації України. Їх частка в біржовому обігу цінних паперів у 201</w:t>
      </w:r>
      <w:r>
        <w:rPr>
          <w:rFonts w:ascii="Times New Roman" w:hAnsi="Times New Roman" w:cs="Times New Roman"/>
          <w:sz w:val="28"/>
          <w:szCs w:val="28"/>
        </w:rPr>
        <w:t>6</w:t>
      </w:r>
      <w:r w:rsidRPr="004A675F">
        <w:rPr>
          <w:rFonts w:ascii="Times New Roman" w:hAnsi="Times New Roman" w:cs="Times New Roman"/>
          <w:sz w:val="28"/>
          <w:szCs w:val="28"/>
        </w:rPr>
        <w:t xml:space="preserve"> році становила 88,07 %. </w:t>
      </w:r>
    </w:p>
    <w:p w:rsidR="00FE125D" w:rsidRDefault="00FE125D" w:rsidP="00FE125D">
      <w:pPr>
        <w:spacing w:after="0" w:line="360" w:lineRule="auto"/>
        <w:ind w:firstLine="709"/>
        <w:contextualSpacing/>
        <w:jc w:val="both"/>
        <w:rPr>
          <w:rFonts w:ascii="Times New Roman" w:hAnsi="Times New Roman" w:cs="Times New Roman"/>
          <w:sz w:val="28"/>
          <w:szCs w:val="28"/>
        </w:rPr>
      </w:pPr>
      <w:r w:rsidRPr="004A675F">
        <w:rPr>
          <w:rFonts w:ascii="Times New Roman" w:hAnsi="Times New Roman" w:cs="Times New Roman"/>
          <w:sz w:val="28"/>
          <w:szCs w:val="28"/>
        </w:rPr>
        <w:t xml:space="preserve">Набагато меншою є частка корпоративних облігацій та облігацій місцевої позики (5,30 % і 0,09 % </w:t>
      </w:r>
      <w:r>
        <w:rPr>
          <w:rFonts w:ascii="Times New Roman" w:hAnsi="Times New Roman" w:cs="Times New Roman"/>
          <w:sz w:val="28"/>
          <w:szCs w:val="28"/>
        </w:rPr>
        <w:t>відповідно). Як уже було зазна</w:t>
      </w:r>
      <w:r w:rsidRPr="004A675F">
        <w:rPr>
          <w:rFonts w:ascii="Times New Roman" w:hAnsi="Times New Roman" w:cs="Times New Roman"/>
          <w:sz w:val="28"/>
          <w:szCs w:val="28"/>
        </w:rPr>
        <w:t xml:space="preserve">чено, за інвестиційними якостями державні </w:t>
      </w:r>
      <w:r>
        <w:rPr>
          <w:rFonts w:ascii="Times New Roman" w:hAnsi="Times New Roman" w:cs="Times New Roman"/>
          <w:sz w:val="28"/>
          <w:szCs w:val="28"/>
        </w:rPr>
        <w:t>та корпоративні облі</w:t>
      </w:r>
      <w:r w:rsidRPr="004A675F">
        <w:rPr>
          <w:rFonts w:ascii="Times New Roman" w:hAnsi="Times New Roman" w:cs="Times New Roman"/>
          <w:sz w:val="28"/>
          <w:szCs w:val="28"/>
        </w:rPr>
        <w:t>гації є досить подібними. Тому можна припустити, що значна орієнтація інвесторів на перші з них значно обмежує можливості залучення капіталу корпораціям</w:t>
      </w:r>
      <w:r>
        <w:rPr>
          <w:rFonts w:ascii="Times New Roman" w:hAnsi="Times New Roman" w:cs="Times New Roman"/>
          <w:sz w:val="28"/>
          <w:szCs w:val="28"/>
        </w:rPr>
        <w:t>и на досить незначному за обся</w:t>
      </w:r>
      <w:r w:rsidRPr="004A675F">
        <w:rPr>
          <w:rFonts w:ascii="Times New Roman" w:hAnsi="Times New Roman" w:cs="Times New Roman"/>
          <w:sz w:val="28"/>
          <w:szCs w:val="28"/>
        </w:rPr>
        <w:t xml:space="preserve">гом ресурсів вітчизняному фондовому ринку. </w:t>
      </w:r>
    </w:p>
    <w:p w:rsidR="00FE125D" w:rsidRDefault="00FE125D" w:rsidP="00FE125D">
      <w:pPr>
        <w:spacing w:after="0" w:line="360" w:lineRule="auto"/>
        <w:contextualSpacing/>
        <w:jc w:val="center"/>
        <w:rPr>
          <w:rFonts w:ascii="Times New Roman" w:hAnsi="Times New Roman" w:cs="Times New Roman"/>
          <w:sz w:val="28"/>
          <w:szCs w:val="28"/>
        </w:rPr>
      </w:pPr>
      <w:r w:rsidRPr="00016B8A">
        <w:rPr>
          <w:rFonts w:ascii="Times New Roman" w:hAnsi="Times New Roman" w:cs="Times New Roman"/>
          <w:noProof/>
          <w:sz w:val="28"/>
          <w:szCs w:val="28"/>
        </w:rPr>
        <w:drawing>
          <wp:inline distT="0" distB="0" distL="0" distR="0">
            <wp:extent cx="5267325" cy="2990850"/>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125D" w:rsidRDefault="00FE125D" w:rsidP="00FE125D">
      <w:pPr>
        <w:spacing w:after="0" w:line="360" w:lineRule="auto"/>
        <w:ind w:firstLine="709"/>
        <w:contextualSpacing/>
        <w:jc w:val="both"/>
        <w:rPr>
          <w:rFonts w:ascii="Times New Roman" w:hAnsi="Times New Roman" w:cs="Times New Roman"/>
          <w:sz w:val="28"/>
          <w:szCs w:val="28"/>
        </w:rPr>
      </w:pPr>
      <w:r w:rsidRPr="004A675F">
        <w:rPr>
          <w:rFonts w:ascii="Times New Roman" w:hAnsi="Times New Roman" w:cs="Times New Roman"/>
          <w:sz w:val="28"/>
          <w:szCs w:val="28"/>
        </w:rPr>
        <w:t xml:space="preserve">Рис. </w:t>
      </w:r>
      <w:r>
        <w:rPr>
          <w:rFonts w:ascii="Times New Roman" w:hAnsi="Times New Roman" w:cs="Times New Roman"/>
          <w:sz w:val="28"/>
          <w:szCs w:val="28"/>
        </w:rPr>
        <w:t>2.2.</w:t>
      </w:r>
      <w:r w:rsidRPr="004A675F">
        <w:rPr>
          <w:rFonts w:ascii="Times New Roman" w:hAnsi="Times New Roman" w:cs="Times New Roman"/>
          <w:sz w:val="28"/>
          <w:szCs w:val="28"/>
        </w:rPr>
        <w:t>1. Структура ринку цінних паперів в Україні в 201</w:t>
      </w:r>
      <w:r>
        <w:rPr>
          <w:rFonts w:ascii="Times New Roman" w:hAnsi="Times New Roman" w:cs="Times New Roman"/>
          <w:sz w:val="28"/>
          <w:szCs w:val="28"/>
        </w:rPr>
        <w:t xml:space="preserve">6 році </w:t>
      </w:r>
      <w:r w:rsidRPr="004A675F">
        <w:rPr>
          <w:rFonts w:ascii="Times New Roman" w:hAnsi="Times New Roman" w:cs="Times New Roman"/>
          <w:sz w:val="28"/>
          <w:szCs w:val="28"/>
        </w:rPr>
        <w:t xml:space="preserve">[ </w:t>
      </w:r>
      <w:r>
        <w:rPr>
          <w:rFonts w:ascii="Times New Roman" w:hAnsi="Times New Roman" w:cs="Times New Roman"/>
          <w:sz w:val="28"/>
          <w:szCs w:val="28"/>
        </w:rPr>
        <w:t>27</w:t>
      </w:r>
      <w:r w:rsidRPr="004A675F">
        <w:rPr>
          <w:rFonts w:ascii="Times New Roman" w:hAnsi="Times New Roman" w:cs="Times New Roman"/>
          <w:sz w:val="28"/>
          <w:szCs w:val="28"/>
        </w:rPr>
        <w:t xml:space="preserve"> ] </w:t>
      </w:r>
    </w:p>
    <w:p w:rsidR="00FE125D" w:rsidRDefault="00FE125D" w:rsidP="00FE125D">
      <w:pPr>
        <w:spacing w:after="0" w:line="360" w:lineRule="auto"/>
        <w:ind w:firstLine="709"/>
        <w:contextualSpacing/>
        <w:jc w:val="both"/>
        <w:rPr>
          <w:rFonts w:ascii="Times New Roman" w:hAnsi="Times New Roman" w:cs="Times New Roman"/>
          <w:sz w:val="28"/>
          <w:szCs w:val="28"/>
        </w:rPr>
      </w:pPr>
      <w:r w:rsidRPr="004A675F">
        <w:rPr>
          <w:rFonts w:ascii="Times New Roman" w:hAnsi="Times New Roman" w:cs="Times New Roman"/>
          <w:sz w:val="28"/>
          <w:szCs w:val="28"/>
        </w:rPr>
        <w:t>Починаючи з фінансової кризи в 2008 році Україна стрімко нарощувала обсяг державного боргу (рис. 2</w:t>
      </w:r>
      <w:r>
        <w:rPr>
          <w:rFonts w:ascii="Times New Roman" w:hAnsi="Times New Roman" w:cs="Times New Roman"/>
          <w:sz w:val="28"/>
          <w:szCs w:val="28"/>
        </w:rPr>
        <w:t>.2.2). Частково він фінан</w:t>
      </w:r>
      <w:r w:rsidRPr="004A675F">
        <w:rPr>
          <w:rFonts w:ascii="Times New Roman" w:hAnsi="Times New Roman" w:cs="Times New Roman"/>
          <w:sz w:val="28"/>
          <w:szCs w:val="28"/>
        </w:rPr>
        <w:t>сувався за рахунок випуску обл</w:t>
      </w:r>
      <w:r>
        <w:rPr>
          <w:rFonts w:ascii="Times New Roman" w:hAnsi="Times New Roman" w:cs="Times New Roman"/>
          <w:sz w:val="28"/>
          <w:szCs w:val="28"/>
        </w:rPr>
        <w:t>ігацій державної позики на внут</w:t>
      </w:r>
      <w:r w:rsidRPr="004A675F">
        <w:rPr>
          <w:rFonts w:ascii="Times New Roman" w:hAnsi="Times New Roman" w:cs="Times New Roman"/>
          <w:sz w:val="28"/>
          <w:szCs w:val="28"/>
        </w:rPr>
        <w:t>рішньому ринку. Якщо в 2009 році було здійснено та допущено до торгів на фондових біржах усього 61 випуск таких боргових інструментів, то в 2012 році — вже 268. У подальшому темпи збільшення державних запозичень тільки зростали. У результаті в 201</w:t>
      </w:r>
      <w:r>
        <w:rPr>
          <w:rFonts w:ascii="Times New Roman" w:hAnsi="Times New Roman" w:cs="Times New Roman"/>
          <w:sz w:val="28"/>
          <w:szCs w:val="28"/>
        </w:rPr>
        <w:t>6</w:t>
      </w:r>
      <w:r w:rsidRPr="004A675F">
        <w:rPr>
          <w:rFonts w:ascii="Times New Roman" w:hAnsi="Times New Roman" w:cs="Times New Roman"/>
          <w:sz w:val="28"/>
          <w:szCs w:val="28"/>
        </w:rPr>
        <w:t xml:space="preserve"> році кількість випусків сягнула 572. </w:t>
      </w:r>
    </w:p>
    <w:p w:rsidR="00FE125D" w:rsidRDefault="00FE125D" w:rsidP="00FE125D">
      <w:pPr>
        <w:spacing w:after="0" w:line="360" w:lineRule="auto"/>
        <w:ind w:firstLine="709"/>
        <w:contextualSpacing/>
        <w:jc w:val="center"/>
        <w:rPr>
          <w:rFonts w:ascii="Times New Roman" w:hAnsi="Times New Roman" w:cs="Times New Roman"/>
          <w:sz w:val="28"/>
          <w:szCs w:val="28"/>
        </w:rPr>
      </w:pPr>
      <w:r w:rsidRPr="00FA3A94">
        <w:rPr>
          <w:rFonts w:ascii="Times New Roman" w:hAnsi="Times New Roman" w:cs="Times New Roman"/>
          <w:noProof/>
          <w:sz w:val="28"/>
          <w:szCs w:val="28"/>
        </w:rPr>
        <w:lastRenderedPageBreak/>
        <w:drawing>
          <wp:inline distT="0" distB="0" distL="0" distR="0">
            <wp:extent cx="4505325" cy="3438525"/>
            <wp:effectExtent l="19050" t="0" r="9525"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125D" w:rsidRDefault="00FE125D" w:rsidP="00FE125D">
      <w:pPr>
        <w:spacing w:after="0" w:line="360" w:lineRule="auto"/>
        <w:ind w:firstLine="709"/>
        <w:contextualSpacing/>
        <w:jc w:val="center"/>
        <w:rPr>
          <w:rFonts w:ascii="Times New Roman" w:hAnsi="Times New Roman" w:cs="Times New Roman"/>
          <w:sz w:val="28"/>
          <w:szCs w:val="28"/>
        </w:rPr>
      </w:pPr>
      <w:r w:rsidRPr="004A675F">
        <w:rPr>
          <w:rFonts w:ascii="Times New Roman" w:hAnsi="Times New Roman" w:cs="Times New Roman"/>
          <w:sz w:val="28"/>
          <w:szCs w:val="28"/>
        </w:rPr>
        <w:t>Рис. 2</w:t>
      </w:r>
      <w:r>
        <w:rPr>
          <w:rFonts w:ascii="Times New Roman" w:hAnsi="Times New Roman" w:cs="Times New Roman"/>
          <w:sz w:val="28"/>
          <w:szCs w:val="28"/>
        </w:rPr>
        <w:t>.2.2</w:t>
      </w:r>
      <w:r w:rsidRPr="004A675F">
        <w:rPr>
          <w:rFonts w:ascii="Times New Roman" w:hAnsi="Times New Roman" w:cs="Times New Roman"/>
          <w:sz w:val="28"/>
          <w:szCs w:val="28"/>
        </w:rPr>
        <w:t>. Кількість випусків державних облігацій, які допущено до торгів на фондових біржах у 20</w:t>
      </w:r>
      <w:r>
        <w:rPr>
          <w:rFonts w:ascii="Times New Roman" w:hAnsi="Times New Roman" w:cs="Times New Roman"/>
          <w:sz w:val="28"/>
          <w:szCs w:val="28"/>
        </w:rPr>
        <w:t>11</w:t>
      </w:r>
      <w:r w:rsidRPr="004A675F">
        <w:rPr>
          <w:rFonts w:ascii="Times New Roman" w:hAnsi="Times New Roman" w:cs="Times New Roman"/>
          <w:sz w:val="28"/>
          <w:szCs w:val="28"/>
        </w:rPr>
        <w:t>—201</w:t>
      </w:r>
      <w:r>
        <w:rPr>
          <w:rFonts w:ascii="Times New Roman" w:hAnsi="Times New Roman" w:cs="Times New Roman"/>
          <w:sz w:val="28"/>
          <w:szCs w:val="28"/>
        </w:rPr>
        <w:t>6</w:t>
      </w:r>
      <w:r w:rsidRPr="004A675F">
        <w:rPr>
          <w:rFonts w:ascii="Times New Roman" w:hAnsi="Times New Roman" w:cs="Times New Roman"/>
          <w:sz w:val="28"/>
          <w:szCs w:val="28"/>
        </w:rPr>
        <w:t xml:space="preserve"> рр., шт.</w:t>
      </w:r>
    </w:p>
    <w:p w:rsidR="00FE125D" w:rsidRDefault="00FE125D" w:rsidP="00FE125D">
      <w:pPr>
        <w:spacing w:after="0" w:line="360" w:lineRule="auto"/>
        <w:ind w:firstLine="709"/>
        <w:contextualSpacing/>
        <w:jc w:val="both"/>
        <w:rPr>
          <w:rFonts w:ascii="Times New Roman" w:hAnsi="Times New Roman" w:cs="Times New Roman"/>
          <w:sz w:val="28"/>
          <w:szCs w:val="28"/>
        </w:rPr>
      </w:pPr>
      <w:r w:rsidRPr="004A675F">
        <w:rPr>
          <w:rFonts w:ascii="Times New Roman" w:hAnsi="Times New Roman" w:cs="Times New Roman"/>
          <w:sz w:val="28"/>
          <w:szCs w:val="28"/>
        </w:rPr>
        <w:t>Зовсім інша ситуація склала</w:t>
      </w:r>
      <w:r>
        <w:rPr>
          <w:rFonts w:ascii="Times New Roman" w:hAnsi="Times New Roman" w:cs="Times New Roman"/>
          <w:sz w:val="28"/>
          <w:szCs w:val="28"/>
        </w:rPr>
        <w:t>сь на ринку корпоративних облі</w:t>
      </w:r>
      <w:r w:rsidRPr="004A675F">
        <w:rPr>
          <w:rFonts w:ascii="Times New Roman" w:hAnsi="Times New Roman" w:cs="Times New Roman"/>
          <w:sz w:val="28"/>
          <w:szCs w:val="28"/>
        </w:rPr>
        <w:t>гацій. Упродовж 2004—2007 рок</w:t>
      </w:r>
      <w:r>
        <w:rPr>
          <w:rFonts w:ascii="Times New Roman" w:hAnsi="Times New Roman" w:cs="Times New Roman"/>
          <w:sz w:val="28"/>
          <w:szCs w:val="28"/>
        </w:rPr>
        <w:t>ів обсяги емісій на ньому швид</w:t>
      </w:r>
      <w:r w:rsidRPr="004A675F">
        <w:rPr>
          <w:rFonts w:ascii="Times New Roman" w:hAnsi="Times New Roman" w:cs="Times New Roman"/>
          <w:sz w:val="28"/>
          <w:szCs w:val="28"/>
        </w:rPr>
        <w:t xml:space="preserve">ко зростали. Якщо в 2004 році було розміщено облігацій на суму 4,11 млрд грн, то вже в 2007 — на суму 44,48 млрд грн. Ринок виріс більш ніж у 10 разів. Проте у подальшому на його розвиток украй негативно вплинула фінансова криза. Окрім зменшення обсягу доступних ресурсів вона призвела до ряду </w:t>
      </w:r>
      <w:r>
        <w:rPr>
          <w:rFonts w:ascii="Times New Roman" w:hAnsi="Times New Roman" w:cs="Times New Roman"/>
          <w:sz w:val="28"/>
          <w:szCs w:val="28"/>
        </w:rPr>
        <w:t>дефолтів за об</w:t>
      </w:r>
      <w:r w:rsidRPr="004A675F">
        <w:rPr>
          <w:rFonts w:ascii="Times New Roman" w:hAnsi="Times New Roman" w:cs="Times New Roman"/>
          <w:sz w:val="28"/>
          <w:szCs w:val="28"/>
        </w:rPr>
        <w:t>лігаціями. Це серйозно підірвало д</w:t>
      </w:r>
      <w:r>
        <w:rPr>
          <w:rFonts w:ascii="Times New Roman" w:hAnsi="Times New Roman" w:cs="Times New Roman"/>
          <w:sz w:val="28"/>
          <w:szCs w:val="28"/>
        </w:rPr>
        <w:t>овіру інвесторів, які вкрай не</w:t>
      </w:r>
      <w:r w:rsidRPr="004A675F">
        <w:rPr>
          <w:rFonts w:ascii="Times New Roman" w:hAnsi="Times New Roman" w:cs="Times New Roman"/>
          <w:sz w:val="28"/>
          <w:szCs w:val="28"/>
        </w:rPr>
        <w:t xml:space="preserve">охоче купували нові випуски корпоративних цінних паперів. </w:t>
      </w:r>
    </w:p>
    <w:p w:rsidR="00FE125D" w:rsidRDefault="00FE125D" w:rsidP="00FE125D">
      <w:pPr>
        <w:spacing w:after="0" w:line="360" w:lineRule="auto"/>
        <w:ind w:firstLine="709"/>
        <w:contextualSpacing/>
        <w:jc w:val="both"/>
        <w:rPr>
          <w:rFonts w:ascii="Times New Roman" w:hAnsi="Times New Roman" w:cs="Times New Roman"/>
          <w:sz w:val="28"/>
          <w:szCs w:val="28"/>
        </w:rPr>
      </w:pPr>
      <w:r w:rsidRPr="004A675F">
        <w:rPr>
          <w:rFonts w:ascii="Times New Roman" w:hAnsi="Times New Roman" w:cs="Times New Roman"/>
          <w:sz w:val="28"/>
          <w:szCs w:val="28"/>
        </w:rPr>
        <w:t>У подальшому ринок дещо відно</w:t>
      </w:r>
      <w:r>
        <w:rPr>
          <w:rFonts w:ascii="Times New Roman" w:hAnsi="Times New Roman" w:cs="Times New Roman"/>
          <w:sz w:val="28"/>
          <w:szCs w:val="28"/>
        </w:rPr>
        <w:t>вився. Максимальних значень об</w:t>
      </w:r>
      <w:r w:rsidRPr="004A675F">
        <w:rPr>
          <w:rFonts w:ascii="Times New Roman" w:hAnsi="Times New Roman" w:cs="Times New Roman"/>
          <w:sz w:val="28"/>
          <w:szCs w:val="28"/>
        </w:rPr>
        <w:t>сяг випусків облігацій досяг у 201</w:t>
      </w:r>
      <w:r>
        <w:rPr>
          <w:rFonts w:ascii="Times New Roman" w:hAnsi="Times New Roman" w:cs="Times New Roman"/>
          <w:sz w:val="28"/>
          <w:szCs w:val="28"/>
        </w:rPr>
        <w:t>4</w:t>
      </w:r>
      <w:r w:rsidRPr="004A675F">
        <w:rPr>
          <w:rFonts w:ascii="Times New Roman" w:hAnsi="Times New Roman" w:cs="Times New Roman"/>
          <w:sz w:val="28"/>
          <w:szCs w:val="28"/>
        </w:rPr>
        <w:t xml:space="preserve"> році — 51,39 млрд г</w:t>
      </w:r>
      <w:r>
        <w:rPr>
          <w:rFonts w:ascii="Times New Roman" w:hAnsi="Times New Roman" w:cs="Times New Roman"/>
          <w:sz w:val="28"/>
          <w:szCs w:val="28"/>
        </w:rPr>
        <w:t>рн. Що</w:t>
      </w:r>
      <w:r w:rsidRPr="004A675F">
        <w:rPr>
          <w:rFonts w:ascii="Times New Roman" w:hAnsi="Times New Roman" w:cs="Times New Roman"/>
          <w:sz w:val="28"/>
          <w:szCs w:val="28"/>
        </w:rPr>
        <w:t>правда, у доларовому еквіваленті докризового рівня він не досяг. Після цього в 201</w:t>
      </w:r>
      <w:r>
        <w:rPr>
          <w:rFonts w:ascii="Times New Roman" w:hAnsi="Times New Roman" w:cs="Times New Roman"/>
          <w:sz w:val="28"/>
          <w:szCs w:val="28"/>
        </w:rPr>
        <w:t>5</w:t>
      </w:r>
      <w:r w:rsidRPr="004A675F">
        <w:rPr>
          <w:rFonts w:ascii="Times New Roman" w:hAnsi="Times New Roman" w:cs="Times New Roman"/>
          <w:sz w:val="28"/>
          <w:szCs w:val="28"/>
        </w:rPr>
        <w:t xml:space="preserve"> та 201</w:t>
      </w:r>
      <w:r>
        <w:rPr>
          <w:rFonts w:ascii="Times New Roman" w:hAnsi="Times New Roman" w:cs="Times New Roman"/>
          <w:sz w:val="28"/>
          <w:szCs w:val="28"/>
        </w:rPr>
        <w:t>6</w:t>
      </w:r>
      <w:r w:rsidRPr="004A675F">
        <w:rPr>
          <w:rFonts w:ascii="Times New Roman" w:hAnsi="Times New Roman" w:cs="Times New Roman"/>
          <w:sz w:val="28"/>
          <w:szCs w:val="28"/>
        </w:rPr>
        <w:t xml:space="preserve"> роках спостерігалось падіння обсягу емісії корпоративних облігацій, який наприкінці досліджуваного періоду становив 29,01 млрд грн.</w:t>
      </w:r>
      <w:r w:rsidRPr="00473CAC">
        <w:rPr>
          <w:rFonts w:ascii="Times New Roman" w:hAnsi="Times New Roman" w:cs="Times New Roman"/>
          <w:sz w:val="28"/>
          <w:szCs w:val="28"/>
        </w:rPr>
        <w:t xml:space="preserve"> </w:t>
      </w:r>
      <w:r w:rsidRPr="004A675F">
        <w:rPr>
          <w:rFonts w:ascii="Times New Roman" w:hAnsi="Times New Roman" w:cs="Times New Roman"/>
          <w:sz w:val="28"/>
          <w:szCs w:val="28"/>
        </w:rPr>
        <w:t xml:space="preserve">[ </w:t>
      </w:r>
      <w:r>
        <w:rPr>
          <w:rFonts w:ascii="Times New Roman" w:hAnsi="Times New Roman" w:cs="Times New Roman"/>
          <w:sz w:val="28"/>
          <w:szCs w:val="28"/>
        </w:rPr>
        <w:t>27</w:t>
      </w:r>
      <w:r w:rsidRPr="004A675F">
        <w:rPr>
          <w:rFonts w:ascii="Times New Roman" w:hAnsi="Times New Roman" w:cs="Times New Roman"/>
          <w:sz w:val="28"/>
          <w:szCs w:val="28"/>
        </w:rPr>
        <w:t xml:space="preserve"> ]</w:t>
      </w:r>
    </w:p>
    <w:p w:rsidR="00FE125D" w:rsidRDefault="00FE125D" w:rsidP="00FE125D">
      <w:pPr>
        <w:spacing w:after="0" w:line="360" w:lineRule="auto"/>
        <w:contextualSpacing/>
        <w:jc w:val="center"/>
        <w:rPr>
          <w:rFonts w:ascii="Times New Roman" w:hAnsi="Times New Roman" w:cs="Times New Roman"/>
          <w:sz w:val="28"/>
          <w:szCs w:val="28"/>
        </w:rPr>
      </w:pPr>
      <w:r w:rsidRPr="00F32EEB">
        <w:rPr>
          <w:rFonts w:ascii="Times New Roman" w:hAnsi="Times New Roman" w:cs="Times New Roman"/>
          <w:noProof/>
          <w:sz w:val="28"/>
          <w:szCs w:val="28"/>
        </w:rPr>
        <w:lastRenderedPageBreak/>
        <w:drawing>
          <wp:inline distT="0" distB="0" distL="0" distR="0">
            <wp:extent cx="4876800" cy="3552825"/>
            <wp:effectExtent l="19050" t="0" r="1905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125D" w:rsidRPr="00943B9E" w:rsidRDefault="00FE125D" w:rsidP="00FE125D">
      <w:pPr>
        <w:spacing w:after="0" w:line="360" w:lineRule="auto"/>
        <w:ind w:firstLine="709"/>
        <w:contextualSpacing/>
        <w:jc w:val="center"/>
        <w:rPr>
          <w:rFonts w:ascii="Times New Roman" w:hAnsi="Times New Roman" w:cs="Times New Roman"/>
          <w:sz w:val="28"/>
          <w:szCs w:val="28"/>
          <w:lang w:val="uk-UA"/>
        </w:rPr>
      </w:pPr>
      <w:r w:rsidRPr="00943B9E">
        <w:rPr>
          <w:rFonts w:ascii="Times New Roman" w:hAnsi="Times New Roman" w:cs="Times New Roman"/>
          <w:sz w:val="28"/>
          <w:szCs w:val="28"/>
        </w:rPr>
        <w:t xml:space="preserve">Рис. </w:t>
      </w:r>
      <w:r>
        <w:rPr>
          <w:rFonts w:ascii="Times New Roman" w:hAnsi="Times New Roman" w:cs="Times New Roman"/>
          <w:sz w:val="28"/>
          <w:szCs w:val="28"/>
        </w:rPr>
        <w:t>2.2.</w:t>
      </w:r>
      <w:r w:rsidRPr="00943B9E">
        <w:rPr>
          <w:rFonts w:ascii="Times New Roman" w:hAnsi="Times New Roman" w:cs="Times New Roman"/>
          <w:sz w:val="28"/>
          <w:szCs w:val="28"/>
        </w:rPr>
        <w:t>3. Обсяг випусків корпоративних облігацій в Україні в 200</w:t>
      </w:r>
      <w:r>
        <w:rPr>
          <w:rFonts w:ascii="Times New Roman" w:hAnsi="Times New Roman" w:cs="Times New Roman"/>
          <w:sz w:val="28"/>
          <w:szCs w:val="28"/>
        </w:rPr>
        <w:t>6</w:t>
      </w:r>
      <w:r w:rsidRPr="00943B9E">
        <w:rPr>
          <w:rFonts w:ascii="Times New Roman" w:hAnsi="Times New Roman" w:cs="Times New Roman"/>
          <w:sz w:val="28"/>
          <w:szCs w:val="28"/>
        </w:rPr>
        <w:t>—201</w:t>
      </w:r>
      <w:r>
        <w:rPr>
          <w:rFonts w:ascii="Times New Roman" w:hAnsi="Times New Roman" w:cs="Times New Roman"/>
          <w:sz w:val="28"/>
          <w:szCs w:val="28"/>
        </w:rPr>
        <w:t>6</w:t>
      </w:r>
      <w:r w:rsidRPr="00943B9E">
        <w:rPr>
          <w:rFonts w:ascii="Times New Roman" w:hAnsi="Times New Roman" w:cs="Times New Roman"/>
          <w:sz w:val="28"/>
          <w:szCs w:val="28"/>
        </w:rPr>
        <w:t xml:space="preserve"> рр., млрд грн</w:t>
      </w:r>
    </w:p>
    <w:p w:rsidR="00FE125D" w:rsidRDefault="00FE125D" w:rsidP="00FE125D">
      <w:pPr>
        <w:spacing w:after="0" w:line="360" w:lineRule="auto"/>
        <w:ind w:firstLine="709"/>
        <w:contextualSpacing/>
        <w:jc w:val="both"/>
        <w:rPr>
          <w:rFonts w:ascii="Times New Roman" w:hAnsi="Times New Roman" w:cs="Times New Roman"/>
          <w:sz w:val="28"/>
          <w:szCs w:val="28"/>
        </w:rPr>
      </w:pPr>
      <w:r w:rsidRPr="00BD693B">
        <w:rPr>
          <w:rFonts w:ascii="Times New Roman" w:hAnsi="Times New Roman" w:cs="Times New Roman"/>
          <w:sz w:val="28"/>
          <w:szCs w:val="28"/>
        </w:rPr>
        <w:t xml:space="preserve">Якщо порівняти обсяги торгів корпоративними та державними </w:t>
      </w:r>
      <w:r>
        <w:rPr>
          <w:rFonts w:ascii="Times New Roman" w:hAnsi="Times New Roman" w:cs="Times New Roman"/>
          <w:sz w:val="28"/>
          <w:szCs w:val="28"/>
        </w:rPr>
        <w:t>облігаціями, то можна побачити</w:t>
      </w:r>
      <w:r w:rsidRPr="00BD693B">
        <w:rPr>
          <w:rFonts w:ascii="Times New Roman" w:hAnsi="Times New Roman" w:cs="Times New Roman"/>
          <w:sz w:val="28"/>
          <w:szCs w:val="28"/>
        </w:rPr>
        <w:t>, що в 200</w:t>
      </w:r>
      <w:r>
        <w:rPr>
          <w:rFonts w:ascii="Times New Roman" w:hAnsi="Times New Roman" w:cs="Times New Roman"/>
          <w:sz w:val="28"/>
          <w:szCs w:val="28"/>
        </w:rPr>
        <w:t>7</w:t>
      </w:r>
      <w:r w:rsidRPr="00BD693B">
        <w:rPr>
          <w:rFonts w:ascii="Times New Roman" w:hAnsi="Times New Roman" w:cs="Times New Roman"/>
          <w:sz w:val="28"/>
          <w:szCs w:val="28"/>
        </w:rPr>
        <w:t xml:space="preserve"> році на ринку спостерігався майже паритет — </w:t>
      </w:r>
      <w:r>
        <w:rPr>
          <w:rFonts w:ascii="Times New Roman" w:hAnsi="Times New Roman" w:cs="Times New Roman"/>
          <w:sz w:val="28"/>
          <w:szCs w:val="28"/>
        </w:rPr>
        <w:t>обсяг торгів корпоративними об</w:t>
      </w:r>
      <w:r w:rsidRPr="00BD693B">
        <w:rPr>
          <w:rFonts w:ascii="Times New Roman" w:hAnsi="Times New Roman" w:cs="Times New Roman"/>
          <w:sz w:val="28"/>
          <w:szCs w:val="28"/>
        </w:rPr>
        <w:t>лігаціями становив 33 млрд грн, а державними — 27 млрд грн. Упродовж 200</w:t>
      </w:r>
      <w:r>
        <w:rPr>
          <w:rFonts w:ascii="Times New Roman" w:hAnsi="Times New Roman" w:cs="Times New Roman"/>
          <w:sz w:val="28"/>
          <w:szCs w:val="28"/>
        </w:rPr>
        <w:t>8</w:t>
      </w:r>
      <w:r w:rsidRPr="00BD693B">
        <w:rPr>
          <w:rFonts w:ascii="Times New Roman" w:hAnsi="Times New Roman" w:cs="Times New Roman"/>
          <w:sz w:val="28"/>
          <w:szCs w:val="28"/>
        </w:rPr>
        <w:t>—20</w:t>
      </w:r>
      <w:r>
        <w:rPr>
          <w:rFonts w:ascii="Times New Roman" w:hAnsi="Times New Roman" w:cs="Times New Roman"/>
          <w:sz w:val="28"/>
          <w:szCs w:val="28"/>
        </w:rPr>
        <w:t>10</w:t>
      </w:r>
      <w:r w:rsidRPr="00BD693B">
        <w:rPr>
          <w:rFonts w:ascii="Times New Roman" w:hAnsi="Times New Roman" w:cs="Times New Roman"/>
          <w:sz w:val="28"/>
          <w:szCs w:val="28"/>
        </w:rPr>
        <w:t xml:space="preserve"> рр. спостерігалось нарощування обсягу торгів як державним, так і корпоративним боргом, проте другий ріс знач</w:t>
      </w:r>
      <w:r>
        <w:rPr>
          <w:rFonts w:ascii="Times New Roman" w:hAnsi="Times New Roman" w:cs="Times New Roman"/>
          <w:sz w:val="28"/>
          <w:szCs w:val="28"/>
        </w:rPr>
        <w:t>но вищими темпами. На кінець 2010</w:t>
      </w:r>
      <w:r w:rsidRPr="00BD693B">
        <w:rPr>
          <w:rFonts w:ascii="Times New Roman" w:hAnsi="Times New Roman" w:cs="Times New Roman"/>
          <w:sz w:val="28"/>
          <w:szCs w:val="28"/>
        </w:rPr>
        <w:t xml:space="preserve"> року обсяги торгів державними облігаціями станови</w:t>
      </w:r>
      <w:r>
        <w:rPr>
          <w:rFonts w:ascii="Times New Roman" w:hAnsi="Times New Roman" w:cs="Times New Roman"/>
          <w:sz w:val="28"/>
          <w:szCs w:val="28"/>
        </w:rPr>
        <w:t>ли 62,49 млрд грн, а корпорати</w:t>
      </w:r>
      <w:r w:rsidRPr="00BD693B">
        <w:rPr>
          <w:rFonts w:ascii="Times New Roman" w:hAnsi="Times New Roman" w:cs="Times New Roman"/>
          <w:sz w:val="28"/>
          <w:szCs w:val="28"/>
        </w:rPr>
        <w:t>вними — 205,21 млрд грн, тобто були більшими у понад 3 рази. Проте в подальшому з розгортанням фінансової кризи ситуація значно змінилась. Обсяг торгів корпоративними облігаціями в 20</w:t>
      </w:r>
      <w:r>
        <w:rPr>
          <w:rFonts w:ascii="Times New Roman" w:hAnsi="Times New Roman" w:cs="Times New Roman"/>
          <w:sz w:val="28"/>
          <w:szCs w:val="28"/>
        </w:rPr>
        <w:t>11</w:t>
      </w:r>
      <w:r w:rsidRPr="00BD693B">
        <w:rPr>
          <w:rFonts w:ascii="Times New Roman" w:hAnsi="Times New Roman" w:cs="Times New Roman"/>
          <w:sz w:val="28"/>
          <w:szCs w:val="28"/>
        </w:rPr>
        <w:t xml:space="preserve"> році впав до 81,13 млрд гр</w:t>
      </w:r>
      <w:r>
        <w:rPr>
          <w:rFonts w:ascii="Times New Roman" w:hAnsi="Times New Roman" w:cs="Times New Roman"/>
          <w:sz w:val="28"/>
          <w:szCs w:val="28"/>
        </w:rPr>
        <w:t>н. На ринку ж державних обліга</w:t>
      </w:r>
      <w:r w:rsidRPr="00BD693B">
        <w:rPr>
          <w:rFonts w:ascii="Times New Roman" w:hAnsi="Times New Roman" w:cs="Times New Roman"/>
          <w:sz w:val="28"/>
          <w:szCs w:val="28"/>
        </w:rPr>
        <w:t xml:space="preserve">цій спостерігалась протилежна динаміка — зростання до 98,99 млрд грн. </w:t>
      </w:r>
    </w:p>
    <w:p w:rsidR="00FE125D" w:rsidRPr="00BD693B" w:rsidRDefault="00FE125D" w:rsidP="00FE125D">
      <w:pPr>
        <w:spacing w:after="0" w:line="360" w:lineRule="auto"/>
        <w:ind w:firstLine="709"/>
        <w:contextualSpacing/>
        <w:jc w:val="both"/>
        <w:rPr>
          <w:rFonts w:ascii="Times New Roman" w:hAnsi="Times New Roman" w:cs="Times New Roman"/>
          <w:sz w:val="28"/>
          <w:szCs w:val="28"/>
        </w:rPr>
      </w:pPr>
      <w:r w:rsidRPr="00BD693B">
        <w:rPr>
          <w:rFonts w:ascii="Times New Roman" w:hAnsi="Times New Roman" w:cs="Times New Roman"/>
          <w:sz w:val="28"/>
          <w:szCs w:val="28"/>
        </w:rPr>
        <w:t>У подальшому відбувалось дуже стрімке нарощування обсягів торгів державними цінними паперами, які досягли піку в 201</w:t>
      </w:r>
      <w:r>
        <w:rPr>
          <w:rFonts w:ascii="Times New Roman" w:hAnsi="Times New Roman" w:cs="Times New Roman"/>
          <w:sz w:val="28"/>
          <w:szCs w:val="28"/>
        </w:rPr>
        <w:t>5</w:t>
      </w:r>
      <w:r w:rsidRPr="00BD693B">
        <w:rPr>
          <w:rFonts w:ascii="Times New Roman" w:hAnsi="Times New Roman" w:cs="Times New Roman"/>
          <w:sz w:val="28"/>
          <w:szCs w:val="28"/>
        </w:rPr>
        <w:t xml:space="preserve"> році, сягнувши 1217,06 млрд грн. На ринку корпоративних облігацій також відбувалось незначне зростання, проте обсяги торгів були далекими від докризових. На кінець 201</w:t>
      </w:r>
      <w:r>
        <w:rPr>
          <w:rFonts w:ascii="Times New Roman" w:hAnsi="Times New Roman" w:cs="Times New Roman"/>
          <w:sz w:val="28"/>
          <w:szCs w:val="28"/>
        </w:rPr>
        <w:t xml:space="preserve">6 </w:t>
      </w:r>
      <w:r w:rsidRPr="00BD693B">
        <w:rPr>
          <w:rFonts w:ascii="Times New Roman" w:hAnsi="Times New Roman" w:cs="Times New Roman"/>
          <w:sz w:val="28"/>
          <w:szCs w:val="28"/>
        </w:rPr>
        <w:lastRenderedPageBreak/>
        <w:t>року обсяг ринку державних облігацій майже в 10 разів перевищував обсяг ринку корпоративних облігацій.</w:t>
      </w:r>
    </w:p>
    <w:p w:rsidR="00FE125D" w:rsidRPr="00473CAC" w:rsidRDefault="00FE125D" w:rsidP="00FE125D">
      <w:pPr>
        <w:spacing w:after="0" w:line="360" w:lineRule="auto"/>
        <w:ind w:firstLine="709"/>
        <w:contextualSpacing/>
        <w:jc w:val="both"/>
        <w:rPr>
          <w:rFonts w:ascii="Times New Roman" w:hAnsi="Times New Roman" w:cs="Times New Roman"/>
          <w:sz w:val="28"/>
          <w:szCs w:val="28"/>
        </w:rPr>
      </w:pPr>
      <w:r w:rsidRPr="00473CAC">
        <w:rPr>
          <w:rFonts w:ascii="Times New Roman" w:hAnsi="Times New Roman" w:cs="Times New Roman"/>
          <w:sz w:val="28"/>
          <w:szCs w:val="28"/>
        </w:rPr>
        <w:t>Таким чином, аналіз наведених статистичних даних показує зменшення ролі корпоративних облігацій і стрімке збільшення використання державних боргових інструментів. Враховуючи конкурентний характер взаємовідносин даних фінансо</w:t>
      </w:r>
      <w:r>
        <w:rPr>
          <w:rFonts w:ascii="Times New Roman" w:hAnsi="Times New Roman" w:cs="Times New Roman"/>
          <w:sz w:val="28"/>
          <w:szCs w:val="28"/>
        </w:rPr>
        <w:t>вих ін</w:t>
      </w:r>
      <w:r w:rsidRPr="00473CAC">
        <w:rPr>
          <w:rFonts w:ascii="Times New Roman" w:hAnsi="Times New Roman" w:cs="Times New Roman"/>
          <w:sz w:val="28"/>
          <w:szCs w:val="28"/>
        </w:rPr>
        <w:t>струментів, є підстави вважати, що державні облігації витісняють корпоративні на ринку. Передусі</w:t>
      </w:r>
      <w:r>
        <w:rPr>
          <w:rFonts w:ascii="Times New Roman" w:hAnsi="Times New Roman" w:cs="Times New Roman"/>
          <w:sz w:val="28"/>
          <w:szCs w:val="28"/>
        </w:rPr>
        <w:t>м це пов’язано зі значним зрос</w:t>
      </w:r>
      <w:r w:rsidRPr="00473CAC">
        <w:rPr>
          <w:rFonts w:ascii="Times New Roman" w:hAnsi="Times New Roman" w:cs="Times New Roman"/>
          <w:sz w:val="28"/>
          <w:szCs w:val="28"/>
        </w:rPr>
        <w:t>танням ризиків. Зміни в політик</w:t>
      </w:r>
      <w:r>
        <w:rPr>
          <w:rFonts w:ascii="Times New Roman" w:hAnsi="Times New Roman" w:cs="Times New Roman"/>
          <w:sz w:val="28"/>
          <w:szCs w:val="28"/>
        </w:rPr>
        <w:t>о-економічній кон’юнктурі приз</w:t>
      </w:r>
      <w:r w:rsidRPr="00473CAC">
        <w:rPr>
          <w:rFonts w:ascii="Times New Roman" w:hAnsi="Times New Roman" w:cs="Times New Roman"/>
          <w:sz w:val="28"/>
          <w:szCs w:val="28"/>
        </w:rPr>
        <w:t>водять до того, що державні обл</w:t>
      </w:r>
      <w:r>
        <w:rPr>
          <w:rFonts w:ascii="Times New Roman" w:hAnsi="Times New Roman" w:cs="Times New Roman"/>
          <w:sz w:val="28"/>
          <w:szCs w:val="28"/>
        </w:rPr>
        <w:t>ігації користуються більшим по</w:t>
      </w:r>
      <w:r w:rsidRPr="00473CAC">
        <w:rPr>
          <w:rFonts w:ascii="Times New Roman" w:hAnsi="Times New Roman" w:cs="Times New Roman"/>
          <w:sz w:val="28"/>
          <w:szCs w:val="28"/>
        </w:rPr>
        <w:t xml:space="preserve">питом. Вони мають нижчий порівняно з корпоративними рівень ризику, так як виплати гарантуються державою. </w:t>
      </w:r>
      <w:r w:rsidRPr="004A675F">
        <w:rPr>
          <w:rFonts w:ascii="Times New Roman" w:hAnsi="Times New Roman" w:cs="Times New Roman"/>
          <w:sz w:val="28"/>
          <w:szCs w:val="28"/>
        </w:rPr>
        <w:t xml:space="preserve">[ </w:t>
      </w:r>
      <w:r>
        <w:rPr>
          <w:rFonts w:ascii="Times New Roman" w:hAnsi="Times New Roman" w:cs="Times New Roman"/>
          <w:sz w:val="28"/>
          <w:szCs w:val="28"/>
        </w:rPr>
        <w:t>27</w:t>
      </w:r>
      <w:r w:rsidRPr="004A675F">
        <w:rPr>
          <w:rFonts w:ascii="Times New Roman" w:hAnsi="Times New Roman" w:cs="Times New Roman"/>
          <w:sz w:val="28"/>
          <w:szCs w:val="28"/>
        </w:rPr>
        <w:t xml:space="preserve"> ]</w:t>
      </w:r>
    </w:p>
    <w:p w:rsidR="00E3378B" w:rsidRDefault="00E3378B" w:rsidP="00D34242">
      <w:pPr>
        <w:spacing w:after="0" w:line="360" w:lineRule="auto"/>
        <w:contextualSpacing/>
        <w:rPr>
          <w:rFonts w:ascii="Times New Roman" w:hAnsi="Times New Roman" w:cs="Times New Roman"/>
          <w:sz w:val="28"/>
          <w:szCs w:val="28"/>
          <w:lang w:val="uk-UA"/>
        </w:rPr>
      </w:pPr>
    </w:p>
    <w:p w:rsidR="003737B5" w:rsidRPr="007265A1" w:rsidRDefault="003737B5" w:rsidP="00525653">
      <w:pPr>
        <w:spacing w:after="0" w:line="360" w:lineRule="auto"/>
        <w:ind w:firstLine="709"/>
        <w:contextualSpacing/>
        <w:jc w:val="center"/>
        <w:rPr>
          <w:rFonts w:ascii="Times New Roman" w:hAnsi="Times New Roman" w:cs="Times New Roman"/>
          <w:b/>
          <w:color w:val="000000" w:themeColor="text1"/>
          <w:sz w:val="28"/>
          <w:szCs w:val="28"/>
          <w:lang w:val="uk-UA"/>
        </w:rPr>
      </w:pPr>
      <w:r w:rsidRPr="007265A1">
        <w:rPr>
          <w:rFonts w:ascii="Times New Roman" w:hAnsi="Times New Roman" w:cs="Times New Roman"/>
          <w:b/>
          <w:color w:val="000000" w:themeColor="text1"/>
          <w:sz w:val="28"/>
          <w:szCs w:val="28"/>
        </w:rPr>
        <w:t>2.3 Проблеми</w:t>
      </w:r>
      <w:r w:rsidR="007265A1">
        <w:rPr>
          <w:rFonts w:ascii="Times New Roman" w:hAnsi="Times New Roman" w:cs="Times New Roman"/>
          <w:b/>
          <w:color w:val="000000" w:themeColor="text1"/>
          <w:sz w:val="28"/>
          <w:szCs w:val="28"/>
          <w:lang w:val="uk-UA"/>
        </w:rPr>
        <w:t xml:space="preserve"> і перспективи розвитку</w:t>
      </w:r>
      <w:r w:rsidRPr="007265A1">
        <w:rPr>
          <w:rFonts w:ascii="Times New Roman" w:hAnsi="Times New Roman" w:cs="Times New Roman"/>
          <w:b/>
          <w:color w:val="000000" w:themeColor="text1"/>
          <w:sz w:val="28"/>
          <w:szCs w:val="28"/>
        </w:rPr>
        <w:t xml:space="preserve"> </w:t>
      </w:r>
      <w:r w:rsidR="007265A1" w:rsidRPr="007265A1">
        <w:rPr>
          <w:rFonts w:ascii="Times New Roman" w:hAnsi="Times New Roman" w:cs="Times New Roman"/>
          <w:b/>
          <w:color w:val="000000" w:themeColor="text1"/>
          <w:sz w:val="28"/>
          <w:szCs w:val="28"/>
          <w:lang w:val="uk-UA"/>
        </w:rPr>
        <w:t>державного ринку облігацій.</w:t>
      </w:r>
    </w:p>
    <w:p w:rsidR="007265A1" w:rsidRDefault="007265A1" w:rsidP="00525653">
      <w:pPr>
        <w:spacing w:after="0" w:line="360" w:lineRule="auto"/>
        <w:ind w:firstLine="709"/>
        <w:contextualSpacing/>
        <w:jc w:val="both"/>
        <w:rPr>
          <w:rFonts w:ascii="Times New Roman" w:hAnsi="Times New Roman" w:cs="Times New Roman"/>
          <w:sz w:val="28"/>
          <w:szCs w:val="28"/>
          <w:lang w:val="uk-UA"/>
        </w:rPr>
      </w:pPr>
    </w:p>
    <w:p w:rsidR="00604847" w:rsidRPr="00604847" w:rsidRDefault="00604847" w:rsidP="0060484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04847">
        <w:rPr>
          <w:rFonts w:ascii="Times New Roman" w:eastAsia="Times New Roman" w:hAnsi="Times New Roman" w:cs="Times New Roman"/>
          <w:sz w:val="28"/>
          <w:szCs w:val="28"/>
          <w:lang w:val="uk-UA"/>
        </w:rPr>
        <w:t xml:space="preserve">У ринковій економіці </w:t>
      </w:r>
      <w:r>
        <w:rPr>
          <w:rFonts w:ascii="Times New Roman" w:eastAsia="Times New Roman" w:hAnsi="Times New Roman" w:cs="Times New Roman"/>
          <w:sz w:val="28"/>
          <w:szCs w:val="28"/>
          <w:lang w:val="uk-UA"/>
        </w:rPr>
        <w:t>України</w:t>
      </w:r>
      <w:r w:rsidRPr="00604847">
        <w:rPr>
          <w:rFonts w:ascii="Times New Roman" w:eastAsia="Times New Roman" w:hAnsi="Times New Roman" w:cs="Times New Roman"/>
          <w:sz w:val="28"/>
          <w:szCs w:val="28"/>
          <w:lang w:val="uk-UA"/>
        </w:rPr>
        <w:t xml:space="preserve"> свобода підприємництва, різноманітність форм власності на засоби виробництва, короткострокове інвестування сприяють розвитку ринку цінних паперів. Цей ринок в умовах кризи зупиняється у своєму розвитку, але все ж обсяги операцій трохи зростають. Ринок цінних паперів є цікавим як для студентів вищих навчальних закладів, так і для фінансових аналітиків і економістів.</w:t>
      </w:r>
    </w:p>
    <w:p w:rsidR="00604847" w:rsidRPr="00604847" w:rsidRDefault="00604847" w:rsidP="0060484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04847">
        <w:rPr>
          <w:rFonts w:ascii="Times New Roman" w:eastAsia="Times New Roman" w:hAnsi="Times New Roman" w:cs="Times New Roman"/>
          <w:sz w:val="28"/>
          <w:szCs w:val="28"/>
          <w:lang w:val="uk-UA"/>
        </w:rPr>
        <w:t xml:space="preserve">Дослідження </w:t>
      </w:r>
      <w:r>
        <w:rPr>
          <w:rFonts w:ascii="Times New Roman" w:eastAsia="Times New Roman" w:hAnsi="Times New Roman" w:cs="Times New Roman"/>
          <w:sz w:val="28"/>
          <w:szCs w:val="28"/>
          <w:lang w:val="uk-UA"/>
        </w:rPr>
        <w:t>ринку цінних паперів</w:t>
      </w:r>
      <w:r w:rsidRPr="00604847">
        <w:rPr>
          <w:rFonts w:ascii="Times New Roman" w:eastAsia="Times New Roman" w:hAnsi="Times New Roman" w:cs="Times New Roman"/>
          <w:sz w:val="28"/>
          <w:szCs w:val="28"/>
          <w:lang w:val="uk-UA"/>
        </w:rPr>
        <w:t xml:space="preserve"> є життєвою необхідністю для </w:t>
      </w:r>
      <w:r>
        <w:rPr>
          <w:rFonts w:ascii="Times New Roman" w:eastAsia="Times New Roman" w:hAnsi="Times New Roman" w:cs="Times New Roman"/>
          <w:sz w:val="28"/>
          <w:szCs w:val="28"/>
          <w:lang w:val="uk-UA"/>
        </w:rPr>
        <w:t>України</w:t>
      </w:r>
      <w:r w:rsidRPr="00604847">
        <w:rPr>
          <w:rFonts w:ascii="Times New Roman" w:eastAsia="Times New Roman" w:hAnsi="Times New Roman" w:cs="Times New Roman"/>
          <w:sz w:val="28"/>
          <w:szCs w:val="28"/>
          <w:lang w:val="uk-UA"/>
        </w:rPr>
        <w:t>. В сукупності з іншими сферами він забезпечує економічне зростання, від якого залежить ефективність функціонування національної економіки та її положення у світовій економічній системі.</w:t>
      </w:r>
    </w:p>
    <w:p w:rsidR="00604847" w:rsidRPr="00604847" w:rsidRDefault="00604847" w:rsidP="0060484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04847">
        <w:rPr>
          <w:rFonts w:ascii="Times New Roman" w:eastAsia="Times New Roman" w:hAnsi="Times New Roman" w:cs="Times New Roman"/>
          <w:sz w:val="28"/>
          <w:szCs w:val="28"/>
          <w:lang w:val="uk-UA"/>
        </w:rPr>
        <w:t xml:space="preserve">Ринок цінних паперів являє собою складну організаційно-економічну систему з високим рівнем єдності і повнотою технологічних циклів. </w:t>
      </w:r>
      <w:r>
        <w:rPr>
          <w:rFonts w:ascii="Times New Roman" w:eastAsia="Times New Roman" w:hAnsi="Times New Roman" w:cs="Times New Roman"/>
          <w:sz w:val="28"/>
          <w:szCs w:val="28"/>
          <w:lang w:val="uk-UA"/>
        </w:rPr>
        <w:t>Ринок цінних пеперів</w:t>
      </w:r>
      <w:r w:rsidRPr="00604847">
        <w:rPr>
          <w:rFonts w:ascii="Times New Roman" w:eastAsia="Times New Roman" w:hAnsi="Times New Roman" w:cs="Times New Roman"/>
          <w:sz w:val="28"/>
          <w:szCs w:val="28"/>
          <w:lang w:val="uk-UA"/>
        </w:rPr>
        <w:t xml:space="preserve"> – це найбільш мобільна частина ринку капіталів, яка забезпечує можливість швидкого ефективного переливу фінансових коштів у різні сфери економіки.</w:t>
      </w:r>
    </w:p>
    <w:p w:rsidR="00604847" w:rsidRPr="00604847" w:rsidRDefault="00604847" w:rsidP="0060484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04847">
        <w:rPr>
          <w:rFonts w:ascii="Times New Roman" w:eastAsia="Times New Roman" w:hAnsi="Times New Roman" w:cs="Times New Roman"/>
          <w:sz w:val="28"/>
          <w:szCs w:val="28"/>
          <w:lang w:val="uk-UA"/>
        </w:rPr>
        <w:t xml:space="preserve">Метою фондового ринку є накопичення та перерозподіл фінансових ресурсів шляхом здійснення учасниками ринку різноманітних операцій з цінними </w:t>
      </w:r>
      <w:r w:rsidRPr="00604847">
        <w:rPr>
          <w:rFonts w:ascii="Times New Roman" w:eastAsia="Times New Roman" w:hAnsi="Times New Roman" w:cs="Times New Roman"/>
          <w:sz w:val="28"/>
          <w:szCs w:val="28"/>
          <w:lang w:val="uk-UA"/>
        </w:rPr>
        <w:lastRenderedPageBreak/>
        <w:t xml:space="preserve">паперами. </w:t>
      </w:r>
      <w:r w:rsidRPr="00604847">
        <w:rPr>
          <w:rFonts w:ascii="Times New Roman" w:eastAsia="Times New Roman" w:hAnsi="Times New Roman" w:cs="Times New Roman"/>
          <w:sz w:val="28"/>
          <w:szCs w:val="28"/>
        </w:rPr>
        <w:t>Ринок цінних паперів виконує роль посередника в русі тимчасово вільних грошових коштів від інвестора до емітента цінних паперів.</w:t>
      </w:r>
    </w:p>
    <w:p w:rsidR="00604847" w:rsidRPr="00604847" w:rsidRDefault="00604847" w:rsidP="0060484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04847">
        <w:rPr>
          <w:rFonts w:ascii="Times New Roman" w:eastAsia="Times New Roman" w:hAnsi="Times New Roman" w:cs="Times New Roman"/>
          <w:sz w:val="28"/>
          <w:szCs w:val="28"/>
        </w:rPr>
        <w:t>На ринку цінних паперів здійснюється перерозподіл капіталів між галузями і секторами економіки, між областями і країнами, між різними верствами населення.</w:t>
      </w:r>
    </w:p>
    <w:p w:rsidR="00604847" w:rsidRPr="00604847" w:rsidRDefault="00604847" w:rsidP="0060484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04847">
        <w:rPr>
          <w:rFonts w:ascii="Times New Roman" w:eastAsia="Times New Roman" w:hAnsi="Times New Roman" w:cs="Times New Roman"/>
          <w:sz w:val="28"/>
          <w:szCs w:val="28"/>
        </w:rPr>
        <w:t>Ринок цінних паперів є одним з небагатьох реальних фінансових каналів, по яких заощадження перетікають у інвестиції. У той же час ринок цінних паперів надає інвесторам право зберігати і примно</w:t>
      </w:r>
      <w:r w:rsidR="00EC2710">
        <w:rPr>
          <w:rFonts w:ascii="Times New Roman" w:eastAsia="Times New Roman" w:hAnsi="Times New Roman" w:cs="Times New Roman"/>
          <w:sz w:val="28"/>
          <w:szCs w:val="28"/>
        </w:rPr>
        <w:t>жувати їх накопичення [2</w:t>
      </w:r>
      <w:r w:rsidRPr="00604847">
        <w:rPr>
          <w:rFonts w:ascii="Times New Roman" w:eastAsia="Times New Roman" w:hAnsi="Times New Roman" w:cs="Times New Roman"/>
          <w:sz w:val="28"/>
          <w:szCs w:val="28"/>
        </w:rPr>
        <w:t>].</w:t>
      </w:r>
    </w:p>
    <w:p w:rsidR="00604847" w:rsidRPr="00604847" w:rsidRDefault="00604847" w:rsidP="0060484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04847">
        <w:rPr>
          <w:rFonts w:ascii="Times New Roman" w:eastAsia="Times New Roman" w:hAnsi="Times New Roman" w:cs="Times New Roman"/>
          <w:sz w:val="28"/>
          <w:szCs w:val="28"/>
        </w:rPr>
        <w:t>Ринок цінних паперів, як одна зі складових ринкової економіки, має можливість через свої інструменти залучати інвестиційні кошти у цілях економічного зростання, розвитку науково-технічного прогресу, інноваційної діяльності, освоєння нових виробництв.</w:t>
      </w:r>
    </w:p>
    <w:p w:rsidR="00604847" w:rsidRPr="00604847" w:rsidRDefault="00604847" w:rsidP="0060484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04847">
        <w:rPr>
          <w:rFonts w:ascii="Times New Roman" w:eastAsia="Times New Roman" w:hAnsi="Times New Roman" w:cs="Times New Roman"/>
          <w:sz w:val="28"/>
          <w:szCs w:val="28"/>
        </w:rPr>
        <w:t xml:space="preserve">У даний момент економіку </w:t>
      </w:r>
      <w:r w:rsidR="00EC2710">
        <w:rPr>
          <w:rFonts w:ascii="Times New Roman" w:eastAsia="Times New Roman" w:hAnsi="Times New Roman" w:cs="Times New Roman"/>
          <w:sz w:val="28"/>
          <w:szCs w:val="28"/>
          <w:lang w:val="uk-UA"/>
        </w:rPr>
        <w:t>України</w:t>
      </w:r>
      <w:r w:rsidRPr="00604847">
        <w:rPr>
          <w:rFonts w:ascii="Times New Roman" w:eastAsia="Times New Roman" w:hAnsi="Times New Roman" w:cs="Times New Roman"/>
          <w:sz w:val="28"/>
          <w:szCs w:val="28"/>
        </w:rPr>
        <w:t xml:space="preserve"> можна охарактеризувати нестабільністю у внутрішній політиці, також має місце бюджетний дефіцит, що призводить до падіння курсу національної валюти, збільшення прибутковості державних боргових зобов'язань і до загрози економічного провалу. Як відомо, розвиток </w:t>
      </w:r>
      <w:r w:rsidR="00EC2710">
        <w:rPr>
          <w:rFonts w:ascii="Times New Roman" w:eastAsia="Times New Roman" w:hAnsi="Times New Roman" w:cs="Times New Roman"/>
          <w:sz w:val="28"/>
          <w:szCs w:val="28"/>
          <w:lang w:val="uk-UA"/>
        </w:rPr>
        <w:t>ринку цінних паперів</w:t>
      </w:r>
      <w:r w:rsidRPr="00604847">
        <w:rPr>
          <w:rFonts w:ascii="Times New Roman" w:eastAsia="Times New Roman" w:hAnsi="Times New Roman" w:cs="Times New Roman"/>
          <w:sz w:val="28"/>
          <w:szCs w:val="28"/>
        </w:rPr>
        <w:t xml:space="preserve"> вкрай педантично до подій такого характеру, тому зміна котирувань цінних паперів – показник, що підходить для оцінки наслідків.</w:t>
      </w:r>
    </w:p>
    <w:p w:rsidR="00604847" w:rsidRPr="00604847" w:rsidRDefault="00604847" w:rsidP="0060484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04847">
        <w:rPr>
          <w:rFonts w:ascii="Times New Roman" w:eastAsia="Times New Roman" w:hAnsi="Times New Roman" w:cs="Times New Roman"/>
          <w:sz w:val="28"/>
          <w:szCs w:val="28"/>
        </w:rPr>
        <w:t xml:space="preserve">Так само слід зазначити, що, починаючи з першої половини 2014 року, для </w:t>
      </w:r>
      <w:r w:rsidR="00EC2710">
        <w:rPr>
          <w:rFonts w:ascii="Times New Roman" w:eastAsia="Times New Roman" w:hAnsi="Times New Roman" w:cs="Times New Roman"/>
          <w:sz w:val="28"/>
          <w:szCs w:val="28"/>
          <w:lang w:val="uk-UA"/>
        </w:rPr>
        <w:t>українського</w:t>
      </w:r>
      <w:r w:rsidRPr="00604847">
        <w:rPr>
          <w:rFonts w:ascii="Times New Roman" w:eastAsia="Times New Roman" w:hAnsi="Times New Roman" w:cs="Times New Roman"/>
          <w:sz w:val="28"/>
          <w:szCs w:val="28"/>
        </w:rPr>
        <w:t xml:space="preserve"> ринку цінних паперів характерні сумні настрої і реакційні стратегії, які обумовлені негативними зовнішніми та внутрішніми факторами</w:t>
      </w:r>
    </w:p>
    <w:p w:rsidR="00604847" w:rsidRPr="00604847" w:rsidRDefault="00604847" w:rsidP="00EC271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04847">
        <w:rPr>
          <w:rFonts w:ascii="Times New Roman" w:eastAsia="Times New Roman" w:hAnsi="Times New Roman" w:cs="Times New Roman"/>
          <w:sz w:val="28"/>
          <w:szCs w:val="28"/>
        </w:rPr>
        <w:t xml:space="preserve">Всупереч обвалу фондового ринку та військовій загрозі, великі бізнесмени, як і іноземні інвестори, не поміняли своїх довгострокових цілей на </w:t>
      </w:r>
      <w:r w:rsidR="00EC2710">
        <w:rPr>
          <w:rFonts w:ascii="Times New Roman" w:eastAsia="Times New Roman" w:hAnsi="Times New Roman" w:cs="Times New Roman"/>
          <w:sz w:val="28"/>
          <w:szCs w:val="28"/>
          <w:lang w:val="uk-UA"/>
        </w:rPr>
        <w:t xml:space="preserve">українському </w:t>
      </w:r>
      <w:r w:rsidRPr="00604847">
        <w:rPr>
          <w:rFonts w:ascii="Times New Roman" w:eastAsia="Times New Roman" w:hAnsi="Times New Roman" w:cs="Times New Roman"/>
          <w:sz w:val="28"/>
          <w:szCs w:val="28"/>
        </w:rPr>
        <w:t>ринку цінних паперів.</w:t>
      </w:r>
      <w:r w:rsidR="00EC2710">
        <w:rPr>
          <w:rFonts w:ascii="Times New Roman" w:eastAsia="Times New Roman" w:hAnsi="Times New Roman" w:cs="Times New Roman"/>
          <w:sz w:val="28"/>
          <w:szCs w:val="28"/>
          <w:lang w:val="uk-UA"/>
        </w:rPr>
        <w:t xml:space="preserve"> </w:t>
      </w:r>
      <w:r w:rsidRPr="00EC2710">
        <w:rPr>
          <w:rFonts w:ascii="Times New Roman" w:eastAsia="Times New Roman" w:hAnsi="Times New Roman" w:cs="Times New Roman"/>
          <w:sz w:val="28"/>
          <w:szCs w:val="28"/>
          <w:lang w:val="uk-UA"/>
        </w:rPr>
        <w:t xml:space="preserve">Так само динаміка фондових ринків відрізнялася підвищеною мінливістю, одним з ключових чинників якої була динаміка цін на нафту – експерти відзначають дуже високу, на рівні близько 90%, кореляцію динаміки нафтових котирувань. </w:t>
      </w:r>
      <w:r w:rsidRPr="00604847">
        <w:rPr>
          <w:rFonts w:ascii="Times New Roman" w:eastAsia="Times New Roman" w:hAnsi="Times New Roman" w:cs="Times New Roman"/>
          <w:sz w:val="28"/>
          <w:szCs w:val="28"/>
        </w:rPr>
        <w:t>Основними факторами несприятливої динаміки стали зростання занепокоєнь інвесторів щодо напрямків глобальної економіки, проблеми банківського сектора і падіння цін на нафту.</w:t>
      </w:r>
    </w:p>
    <w:p w:rsidR="00604847" w:rsidRPr="00604847" w:rsidRDefault="00604847" w:rsidP="0060484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04847">
        <w:rPr>
          <w:rFonts w:ascii="Times New Roman" w:eastAsia="Times New Roman" w:hAnsi="Times New Roman" w:cs="Times New Roman"/>
          <w:sz w:val="28"/>
          <w:szCs w:val="28"/>
        </w:rPr>
        <w:lastRenderedPageBreak/>
        <w:t xml:space="preserve">Розвиток ринку цінних паперів стримується не тільки </w:t>
      </w:r>
      <w:r w:rsidR="00EC2710">
        <w:rPr>
          <w:rFonts w:ascii="Times New Roman" w:eastAsia="Times New Roman" w:hAnsi="Times New Roman" w:cs="Times New Roman"/>
          <w:sz w:val="28"/>
          <w:szCs w:val="28"/>
          <w:lang w:val="uk-UA"/>
        </w:rPr>
        <w:t>через</w:t>
      </w:r>
      <w:r w:rsidRPr="00604847">
        <w:rPr>
          <w:rFonts w:ascii="Times New Roman" w:eastAsia="Times New Roman" w:hAnsi="Times New Roman" w:cs="Times New Roman"/>
          <w:sz w:val="28"/>
          <w:szCs w:val="28"/>
        </w:rPr>
        <w:t xml:space="preserve"> політичн</w:t>
      </w:r>
      <w:r w:rsidR="00EC2710">
        <w:rPr>
          <w:rFonts w:ascii="Times New Roman" w:eastAsia="Times New Roman" w:hAnsi="Times New Roman" w:cs="Times New Roman"/>
          <w:sz w:val="28"/>
          <w:szCs w:val="28"/>
          <w:lang w:val="uk-UA"/>
        </w:rPr>
        <w:t>у</w:t>
      </w:r>
      <w:r w:rsidRPr="00604847">
        <w:rPr>
          <w:rFonts w:ascii="Times New Roman" w:eastAsia="Times New Roman" w:hAnsi="Times New Roman" w:cs="Times New Roman"/>
          <w:sz w:val="28"/>
          <w:szCs w:val="28"/>
        </w:rPr>
        <w:t xml:space="preserve"> та економічн</w:t>
      </w:r>
      <w:r w:rsidR="00EC2710">
        <w:rPr>
          <w:rFonts w:ascii="Times New Roman" w:eastAsia="Times New Roman" w:hAnsi="Times New Roman" w:cs="Times New Roman"/>
          <w:sz w:val="28"/>
          <w:szCs w:val="28"/>
          <w:lang w:val="uk-UA"/>
        </w:rPr>
        <w:t>у</w:t>
      </w:r>
      <w:r w:rsidRPr="00604847">
        <w:rPr>
          <w:rFonts w:ascii="Times New Roman" w:eastAsia="Times New Roman" w:hAnsi="Times New Roman" w:cs="Times New Roman"/>
          <w:sz w:val="28"/>
          <w:szCs w:val="28"/>
        </w:rPr>
        <w:t xml:space="preserve"> ситуації, але і, перш за все, через нерозвиненість технічної і функціональної підсистем інфраструктури. Неефективно діє система контролю за операціями на ринку цінних паперів.</w:t>
      </w:r>
    </w:p>
    <w:p w:rsidR="00604847" w:rsidRPr="00604847" w:rsidRDefault="00604847" w:rsidP="0060484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04847">
        <w:rPr>
          <w:rFonts w:ascii="Times New Roman" w:eastAsia="Times New Roman" w:hAnsi="Times New Roman" w:cs="Times New Roman"/>
          <w:sz w:val="28"/>
          <w:szCs w:val="28"/>
        </w:rPr>
        <w:t>Істотними проблемами, що впливають на розвиток ринку цінних паперів в нашій країні, є організаційні, кадрові та методологічні.</w:t>
      </w:r>
    </w:p>
    <w:p w:rsidR="00604847" w:rsidRPr="00604847" w:rsidRDefault="00604847" w:rsidP="0060484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04847">
        <w:rPr>
          <w:rFonts w:ascii="Times New Roman" w:eastAsia="Times New Roman" w:hAnsi="Times New Roman" w:cs="Times New Roman"/>
          <w:sz w:val="28"/>
          <w:szCs w:val="28"/>
        </w:rPr>
        <w:t>Організаційні проблеми зумовлені відсутністю розвинутої інфраструктури ринку та недостатнім інформаційним забезпеченням.</w:t>
      </w:r>
    </w:p>
    <w:p w:rsidR="00604847" w:rsidRPr="00604847" w:rsidRDefault="00604847" w:rsidP="0060484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04847">
        <w:rPr>
          <w:rFonts w:ascii="Times New Roman" w:eastAsia="Times New Roman" w:hAnsi="Times New Roman" w:cs="Times New Roman"/>
          <w:sz w:val="28"/>
          <w:szCs w:val="28"/>
        </w:rPr>
        <w:t xml:space="preserve">Кадрові проблеми характеризуються малим терміном розвитку </w:t>
      </w:r>
      <w:r w:rsidR="00EC2710">
        <w:rPr>
          <w:rFonts w:ascii="Times New Roman" w:eastAsia="Times New Roman" w:hAnsi="Times New Roman" w:cs="Times New Roman"/>
          <w:sz w:val="28"/>
          <w:szCs w:val="28"/>
          <w:lang w:val="uk-UA"/>
        </w:rPr>
        <w:t>ринку</w:t>
      </w:r>
      <w:r w:rsidRPr="00604847">
        <w:rPr>
          <w:rFonts w:ascii="Times New Roman" w:eastAsia="Times New Roman" w:hAnsi="Times New Roman" w:cs="Times New Roman"/>
          <w:sz w:val="28"/>
          <w:szCs w:val="28"/>
        </w:rPr>
        <w:t xml:space="preserve"> і незначним числом справжніх професіоналів. Хоч вони існували і до кризи, але під час н</w:t>
      </w:r>
      <w:r w:rsidR="00EC2710">
        <w:rPr>
          <w:rFonts w:ascii="Times New Roman" w:eastAsia="Times New Roman" w:hAnsi="Times New Roman" w:cs="Times New Roman"/>
          <w:sz w:val="28"/>
          <w:szCs w:val="28"/>
          <w:lang w:val="uk-UA"/>
        </w:rPr>
        <w:t>еї суттєво</w:t>
      </w:r>
      <w:r w:rsidRPr="00604847">
        <w:rPr>
          <w:rFonts w:ascii="Times New Roman" w:eastAsia="Times New Roman" w:hAnsi="Times New Roman" w:cs="Times New Roman"/>
          <w:sz w:val="28"/>
          <w:szCs w:val="28"/>
        </w:rPr>
        <w:t xml:space="preserve"> загострилися.</w:t>
      </w:r>
    </w:p>
    <w:p w:rsidR="00604847" w:rsidRPr="00604847" w:rsidRDefault="00604847" w:rsidP="0060484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04847">
        <w:rPr>
          <w:rFonts w:ascii="Times New Roman" w:eastAsia="Times New Roman" w:hAnsi="Times New Roman" w:cs="Times New Roman"/>
          <w:sz w:val="28"/>
          <w:szCs w:val="28"/>
        </w:rPr>
        <w:t>Методологічні проблеми пов'язані з неопрацьованість методів здійснення більшості фондових операцій і окремих процедур на досліджуваному ринку.</w:t>
      </w:r>
    </w:p>
    <w:p w:rsidR="00604847" w:rsidRPr="00604847" w:rsidRDefault="00604847" w:rsidP="0060484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04847">
        <w:rPr>
          <w:rFonts w:ascii="Times New Roman" w:eastAsia="Times New Roman" w:hAnsi="Times New Roman" w:cs="Times New Roman"/>
          <w:sz w:val="28"/>
          <w:szCs w:val="28"/>
        </w:rPr>
        <w:t>Проблеми розвитку ринку цінних паперів також пов'язані:</w:t>
      </w:r>
    </w:p>
    <w:p w:rsidR="00604847" w:rsidRPr="00EC2710" w:rsidRDefault="00604847" w:rsidP="00EC2710">
      <w:pPr>
        <w:pStyle w:val="a6"/>
        <w:numPr>
          <w:ilvl w:val="0"/>
          <w:numId w:val="34"/>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EC2710">
        <w:rPr>
          <w:rFonts w:ascii="Times New Roman" w:eastAsia="Times New Roman" w:hAnsi="Times New Roman" w:cs="Times New Roman"/>
          <w:sz w:val="28"/>
          <w:szCs w:val="28"/>
        </w:rPr>
        <w:t xml:space="preserve">з незначним обсягом фінансування економіки за допомогою механізмів фондового ринку (в </w:t>
      </w:r>
      <w:r w:rsidR="00EC2710" w:rsidRPr="00EC2710">
        <w:rPr>
          <w:rFonts w:ascii="Times New Roman" w:eastAsia="Times New Roman" w:hAnsi="Times New Roman" w:cs="Times New Roman"/>
          <w:sz w:val="28"/>
          <w:szCs w:val="28"/>
          <w:lang w:val="uk-UA"/>
        </w:rPr>
        <w:t>Україні</w:t>
      </w:r>
      <w:r w:rsidRPr="00EC2710">
        <w:rPr>
          <w:rFonts w:ascii="Times New Roman" w:eastAsia="Times New Roman" w:hAnsi="Times New Roman" w:cs="Times New Roman"/>
          <w:sz w:val="28"/>
          <w:szCs w:val="28"/>
        </w:rPr>
        <w:t xml:space="preserve"> – менше 6%, а в країнах з розвиненою ринковою економікою – до 20%);</w:t>
      </w:r>
    </w:p>
    <w:p w:rsidR="00604847" w:rsidRPr="00EC2710" w:rsidRDefault="00604847" w:rsidP="00EC2710">
      <w:pPr>
        <w:pStyle w:val="a6"/>
        <w:numPr>
          <w:ilvl w:val="0"/>
          <w:numId w:val="34"/>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EC2710">
        <w:rPr>
          <w:rFonts w:ascii="Times New Roman" w:eastAsia="Times New Roman" w:hAnsi="Times New Roman" w:cs="Times New Roman"/>
          <w:sz w:val="28"/>
          <w:szCs w:val="28"/>
        </w:rPr>
        <w:t>малою питомою вагою реального капіталу на фінансовому ринку;</w:t>
      </w:r>
    </w:p>
    <w:p w:rsidR="00604847" w:rsidRPr="00EC2710" w:rsidRDefault="00604847" w:rsidP="00EC2710">
      <w:pPr>
        <w:pStyle w:val="a6"/>
        <w:numPr>
          <w:ilvl w:val="0"/>
          <w:numId w:val="34"/>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EC2710">
        <w:rPr>
          <w:rFonts w:ascii="Times New Roman" w:eastAsia="Times New Roman" w:hAnsi="Times New Roman" w:cs="Times New Roman"/>
          <w:sz w:val="28"/>
          <w:szCs w:val="28"/>
        </w:rPr>
        <w:t>недоліком сучасної модернізованої системи центрів клірингових розрахунків, депозитаріїв, автономних реєстраторів;</w:t>
      </w:r>
    </w:p>
    <w:p w:rsidR="00604847" w:rsidRPr="00EC2710" w:rsidRDefault="00604847" w:rsidP="00EC2710">
      <w:pPr>
        <w:pStyle w:val="a6"/>
        <w:numPr>
          <w:ilvl w:val="0"/>
          <w:numId w:val="34"/>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EC2710">
        <w:rPr>
          <w:rFonts w:ascii="Times New Roman" w:eastAsia="Times New Roman" w:hAnsi="Times New Roman" w:cs="Times New Roman"/>
          <w:sz w:val="28"/>
          <w:szCs w:val="28"/>
        </w:rPr>
        <w:t xml:space="preserve">юридичної неготовністю фірм до укладення договорів з партнерами з урахуванням можливих збитків, які можуть виникнути </w:t>
      </w:r>
      <w:r w:rsidR="00EC2710" w:rsidRPr="00EC2710">
        <w:rPr>
          <w:rFonts w:ascii="Times New Roman" w:eastAsia="Times New Roman" w:hAnsi="Times New Roman" w:cs="Times New Roman"/>
          <w:sz w:val="28"/>
          <w:szCs w:val="28"/>
          <w:lang w:val="uk-UA"/>
        </w:rPr>
        <w:t>через</w:t>
      </w:r>
      <w:r w:rsidRPr="00EC2710">
        <w:rPr>
          <w:rFonts w:ascii="Times New Roman" w:eastAsia="Times New Roman" w:hAnsi="Times New Roman" w:cs="Times New Roman"/>
          <w:sz w:val="28"/>
          <w:szCs w:val="28"/>
        </w:rPr>
        <w:t xml:space="preserve"> неочікуван</w:t>
      </w:r>
      <w:r w:rsidR="00EC2710" w:rsidRPr="00EC2710">
        <w:rPr>
          <w:rFonts w:ascii="Times New Roman" w:eastAsia="Times New Roman" w:hAnsi="Times New Roman" w:cs="Times New Roman"/>
          <w:sz w:val="28"/>
          <w:szCs w:val="28"/>
          <w:lang w:val="uk-UA"/>
        </w:rPr>
        <w:t>і</w:t>
      </w:r>
      <w:r w:rsidRPr="00EC2710">
        <w:rPr>
          <w:rFonts w:ascii="Times New Roman" w:eastAsia="Times New Roman" w:hAnsi="Times New Roman" w:cs="Times New Roman"/>
          <w:sz w:val="28"/>
          <w:szCs w:val="28"/>
        </w:rPr>
        <w:t xml:space="preserve"> змін</w:t>
      </w:r>
      <w:r w:rsidR="00EC2710" w:rsidRPr="00EC2710">
        <w:rPr>
          <w:rFonts w:ascii="Times New Roman" w:eastAsia="Times New Roman" w:hAnsi="Times New Roman" w:cs="Times New Roman"/>
          <w:sz w:val="28"/>
          <w:szCs w:val="28"/>
          <w:lang w:val="uk-UA"/>
        </w:rPr>
        <w:t>и</w:t>
      </w:r>
      <w:r w:rsidRPr="00EC2710">
        <w:rPr>
          <w:rFonts w:ascii="Times New Roman" w:eastAsia="Times New Roman" w:hAnsi="Times New Roman" w:cs="Times New Roman"/>
          <w:sz w:val="28"/>
          <w:szCs w:val="28"/>
        </w:rPr>
        <w:t xml:space="preserve"> на ринку;</w:t>
      </w:r>
    </w:p>
    <w:p w:rsidR="00604847" w:rsidRPr="00EC2710" w:rsidRDefault="00EC2710" w:rsidP="00EC2710">
      <w:pPr>
        <w:pStyle w:val="a6"/>
        <w:numPr>
          <w:ilvl w:val="0"/>
          <w:numId w:val="34"/>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EC2710">
        <w:rPr>
          <w:rFonts w:ascii="Times New Roman" w:eastAsia="Times New Roman" w:hAnsi="Times New Roman" w:cs="Times New Roman"/>
          <w:sz w:val="28"/>
          <w:szCs w:val="28"/>
        </w:rPr>
        <w:t>відсутність</w:t>
      </w:r>
      <w:r w:rsidR="00604847" w:rsidRPr="00EC2710">
        <w:rPr>
          <w:rFonts w:ascii="Times New Roman" w:eastAsia="Times New Roman" w:hAnsi="Times New Roman" w:cs="Times New Roman"/>
          <w:sz w:val="28"/>
          <w:szCs w:val="28"/>
        </w:rPr>
        <w:t xml:space="preserve"> загально</w:t>
      </w:r>
      <w:r w:rsidRPr="00EC2710">
        <w:rPr>
          <w:rFonts w:ascii="Times New Roman" w:eastAsia="Times New Roman" w:hAnsi="Times New Roman" w:cs="Times New Roman"/>
          <w:sz w:val="28"/>
          <w:szCs w:val="28"/>
          <w:lang w:val="uk-UA"/>
        </w:rPr>
        <w:t>українськи</w:t>
      </w:r>
      <w:r w:rsidR="00604847" w:rsidRPr="00EC2710">
        <w:rPr>
          <w:rFonts w:ascii="Times New Roman" w:eastAsia="Times New Roman" w:hAnsi="Times New Roman" w:cs="Times New Roman"/>
          <w:sz w:val="28"/>
          <w:szCs w:val="28"/>
        </w:rPr>
        <w:t>х класифікаторів операцій, технологій банків і бірж, які відповідають світовим стандартам;</w:t>
      </w:r>
    </w:p>
    <w:p w:rsidR="00604847" w:rsidRPr="00EC2710" w:rsidRDefault="00604847" w:rsidP="00EC2710">
      <w:pPr>
        <w:pStyle w:val="a6"/>
        <w:numPr>
          <w:ilvl w:val="0"/>
          <w:numId w:val="34"/>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EC2710">
        <w:rPr>
          <w:rFonts w:ascii="Times New Roman" w:eastAsia="Times New Roman" w:hAnsi="Times New Roman" w:cs="Times New Roman"/>
          <w:sz w:val="28"/>
          <w:szCs w:val="28"/>
        </w:rPr>
        <w:t>протиріччям функціонуючих форм бухгалтерського обліку міжнародним зразкам [3].</w:t>
      </w:r>
    </w:p>
    <w:p w:rsidR="00604847" w:rsidRPr="00604847" w:rsidRDefault="00604847" w:rsidP="0060484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04847">
        <w:rPr>
          <w:rFonts w:ascii="Times New Roman" w:eastAsia="Times New Roman" w:hAnsi="Times New Roman" w:cs="Times New Roman"/>
          <w:sz w:val="28"/>
          <w:szCs w:val="28"/>
        </w:rPr>
        <w:t>Для розвитку ринку цінних паперів необхідно шукати способи подолання проблем і намітити шляхи його розвитку.</w:t>
      </w:r>
    </w:p>
    <w:p w:rsidR="00604847" w:rsidRPr="00EC2710" w:rsidRDefault="00604847" w:rsidP="0060484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04847">
        <w:rPr>
          <w:rFonts w:ascii="Times New Roman" w:eastAsia="Times New Roman" w:hAnsi="Times New Roman" w:cs="Times New Roman"/>
          <w:sz w:val="28"/>
          <w:szCs w:val="28"/>
        </w:rPr>
        <w:t xml:space="preserve">Перспективні напрямки розвитку </w:t>
      </w:r>
      <w:r w:rsidR="00EC2710">
        <w:rPr>
          <w:rFonts w:ascii="Times New Roman" w:eastAsia="Times New Roman" w:hAnsi="Times New Roman" w:cs="Times New Roman"/>
          <w:sz w:val="28"/>
          <w:szCs w:val="28"/>
          <w:lang w:val="uk-UA"/>
        </w:rPr>
        <w:t>ринку цінних паперів</w:t>
      </w:r>
      <w:r w:rsidRPr="00604847">
        <w:rPr>
          <w:rFonts w:ascii="Times New Roman" w:eastAsia="Times New Roman" w:hAnsi="Times New Roman" w:cs="Times New Roman"/>
          <w:sz w:val="28"/>
          <w:szCs w:val="28"/>
        </w:rPr>
        <w:t xml:space="preserve"> в </w:t>
      </w:r>
      <w:r w:rsidR="00EC2710">
        <w:rPr>
          <w:rFonts w:ascii="Times New Roman" w:eastAsia="Times New Roman" w:hAnsi="Times New Roman" w:cs="Times New Roman"/>
          <w:sz w:val="28"/>
          <w:szCs w:val="28"/>
          <w:lang w:val="uk-UA"/>
        </w:rPr>
        <w:t>Україні:</w:t>
      </w:r>
    </w:p>
    <w:p w:rsidR="00604847" w:rsidRPr="003658F7" w:rsidRDefault="00604847" w:rsidP="00EC2710">
      <w:pPr>
        <w:pStyle w:val="a6"/>
        <w:numPr>
          <w:ilvl w:val="0"/>
          <w:numId w:val="35"/>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rPr>
      </w:pPr>
      <w:r w:rsidRPr="003658F7">
        <w:rPr>
          <w:rFonts w:ascii="Times New Roman" w:eastAsia="Times New Roman" w:hAnsi="Times New Roman" w:cs="Times New Roman"/>
          <w:sz w:val="28"/>
          <w:szCs w:val="28"/>
          <w:lang w:val="uk-UA"/>
        </w:rPr>
        <w:lastRenderedPageBreak/>
        <w:t>удосконалення структури нормативно-правових актів: забезпечення належного захисту прав інвесторів, визначення чітких санкцій, що застосовуються у разі безліцензійної діяльності, випусків сурогатів цінних паперів, більш ретельне регулювання відносин, пов'язаних з «інсайдерськими угодами» і маніпулюванням цінами на ринку.</w:t>
      </w:r>
    </w:p>
    <w:p w:rsidR="00604847" w:rsidRPr="00EC2710" w:rsidRDefault="00604847" w:rsidP="00EC2710">
      <w:pPr>
        <w:pStyle w:val="a6"/>
        <w:numPr>
          <w:ilvl w:val="0"/>
          <w:numId w:val="35"/>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EC2710">
        <w:rPr>
          <w:rFonts w:ascii="Times New Roman" w:eastAsia="Times New Roman" w:hAnsi="Times New Roman" w:cs="Times New Roman"/>
          <w:sz w:val="28"/>
          <w:szCs w:val="28"/>
        </w:rPr>
        <w:t>модернізація первинного і вторинного ринку цінних паперів;</w:t>
      </w:r>
    </w:p>
    <w:p w:rsidR="00604847" w:rsidRPr="00EC2710" w:rsidRDefault="00604847" w:rsidP="00EC2710">
      <w:pPr>
        <w:pStyle w:val="a6"/>
        <w:numPr>
          <w:ilvl w:val="0"/>
          <w:numId w:val="35"/>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EC2710">
        <w:rPr>
          <w:rFonts w:ascii="Times New Roman" w:eastAsia="Times New Roman" w:hAnsi="Times New Roman" w:cs="Times New Roman"/>
          <w:sz w:val="28"/>
          <w:szCs w:val="28"/>
        </w:rPr>
        <w:t>підвищення якості контролю країни за фондовим ринком;</w:t>
      </w:r>
    </w:p>
    <w:p w:rsidR="00604847" w:rsidRPr="00EC2710" w:rsidRDefault="00604847" w:rsidP="00EC2710">
      <w:pPr>
        <w:pStyle w:val="a6"/>
        <w:numPr>
          <w:ilvl w:val="0"/>
          <w:numId w:val="35"/>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EC2710">
        <w:rPr>
          <w:rFonts w:ascii="Times New Roman" w:eastAsia="Times New Roman" w:hAnsi="Times New Roman" w:cs="Times New Roman"/>
          <w:sz w:val="28"/>
          <w:szCs w:val="28"/>
        </w:rPr>
        <w:t>розвиток ринку корпоративних цінних паперів та ринку муніципальних запозичень;</w:t>
      </w:r>
    </w:p>
    <w:p w:rsidR="00604847" w:rsidRPr="00EC2710" w:rsidRDefault="00604847" w:rsidP="00EC2710">
      <w:pPr>
        <w:pStyle w:val="a6"/>
        <w:numPr>
          <w:ilvl w:val="0"/>
          <w:numId w:val="35"/>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EC2710">
        <w:rPr>
          <w:rFonts w:ascii="Times New Roman" w:eastAsia="Times New Roman" w:hAnsi="Times New Roman" w:cs="Times New Roman"/>
          <w:sz w:val="28"/>
          <w:szCs w:val="28"/>
        </w:rPr>
        <w:t>розширення інфраструктури ринку цінних паперів та його інформаційного забезпечення;</w:t>
      </w:r>
    </w:p>
    <w:p w:rsidR="00604847" w:rsidRPr="00EC2710" w:rsidRDefault="00604847" w:rsidP="00EC2710">
      <w:pPr>
        <w:pStyle w:val="a6"/>
        <w:numPr>
          <w:ilvl w:val="0"/>
          <w:numId w:val="35"/>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EC2710">
        <w:rPr>
          <w:rFonts w:ascii="Times New Roman" w:eastAsia="Times New Roman" w:hAnsi="Times New Roman" w:cs="Times New Roman"/>
          <w:sz w:val="28"/>
          <w:szCs w:val="28"/>
        </w:rPr>
        <w:t>надання відкритої інформації. Це необхідно для того, щоб учасники ринку приймали рішення, спираючись на свої оцінки реальних фактів, не спираючись на припущення і чутки.</w:t>
      </w:r>
    </w:p>
    <w:p w:rsidR="00604847" w:rsidRPr="00604847" w:rsidRDefault="00604847" w:rsidP="0060484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04847">
        <w:rPr>
          <w:rFonts w:ascii="Times New Roman" w:eastAsia="Times New Roman" w:hAnsi="Times New Roman" w:cs="Times New Roman"/>
          <w:sz w:val="28"/>
          <w:szCs w:val="28"/>
        </w:rPr>
        <w:t xml:space="preserve">Інвестор, який не отримає детальної та точної інформації про те, на які цілі його грошові кошти будуть витрачені, які фінансові результати об'єкта його передбачуваних інвестицій, віддасть їх туди, де необхідні відомості йому нададуть, щоб він прийняв адекватні рішення в сформованій ситуації. Тому система розкриття інформації важлива для підвищення привабливості </w:t>
      </w:r>
      <w:r w:rsidR="00EC2710">
        <w:rPr>
          <w:rFonts w:ascii="Times New Roman" w:eastAsia="Times New Roman" w:hAnsi="Times New Roman" w:cs="Times New Roman"/>
          <w:sz w:val="28"/>
          <w:szCs w:val="28"/>
          <w:lang w:val="uk-UA"/>
        </w:rPr>
        <w:t>українського ринку цінних паперів</w:t>
      </w:r>
      <w:r w:rsidRPr="00604847">
        <w:rPr>
          <w:rFonts w:ascii="Times New Roman" w:eastAsia="Times New Roman" w:hAnsi="Times New Roman" w:cs="Times New Roman"/>
          <w:sz w:val="28"/>
          <w:szCs w:val="28"/>
        </w:rPr>
        <w:t xml:space="preserve"> для іноземних інвес</w:t>
      </w:r>
      <w:r w:rsidR="00EC2710">
        <w:rPr>
          <w:rFonts w:ascii="Times New Roman" w:eastAsia="Times New Roman" w:hAnsi="Times New Roman" w:cs="Times New Roman"/>
          <w:sz w:val="28"/>
          <w:szCs w:val="28"/>
        </w:rPr>
        <w:t>тицій [4</w:t>
      </w:r>
      <w:r w:rsidRPr="00604847">
        <w:rPr>
          <w:rFonts w:ascii="Times New Roman" w:eastAsia="Times New Roman" w:hAnsi="Times New Roman" w:cs="Times New Roman"/>
          <w:sz w:val="28"/>
          <w:szCs w:val="28"/>
        </w:rPr>
        <w:t>].</w:t>
      </w:r>
    </w:p>
    <w:p w:rsidR="00604847" w:rsidRPr="00604847" w:rsidRDefault="00604847" w:rsidP="0060484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04847">
        <w:rPr>
          <w:rFonts w:ascii="Times New Roman" w:eastAsia="Times New Roman" w:hAnsi="Times New Roman" w:cs="Times New Roman"/>
          <w:sz w:val="28"/>
          <w:szCs w:val="28"/>
        </w:rPr>
        <w:t xml:space="preserve">В сучасних умовах </w:t>
      </w:r>
      <w:r w:rsidR="00EC2710">
        <w:rPr>
          <w:rFonts w:ascii="Times New Roman" w:eastAsia="Times New Roman" w:hAnsi="Times New Roman" w:cs="Times New Roman"/>
          <w:sz w:val="28"/>
          <w:szCs w:val="28"/>
          <w:lang w:val="uk-UA"/>
        </w:rPr>
        <w:t>український</w:t>
      </w:r>
      <w:r w:rsidRPr="00604847">
        <w:rPr>
          <w:rFonts w:ascii="Times New Roman" w:eastAsia="Times New Roman" w:hAnsi="Times New Roman" w:cs="Times New Roman"/>
          <w:sz w:val="28"/>
          <w:szCs w:val="28"/>
        </w:rPr>
        <w:t xml:space="preserve"> ринок цінних паперів не може належною мірою забезпечити стабільне функціонування діяльності професійних учасників, так як переживає і відчуває на собі </w:t>
      </w:r>
      <w:r w:rsidR="00EC2710">
        <w:rPr>
          <w:rFonts w:ascii="Times New Roman" w:eastAsia="Times New Roman" w:hAnsi="Times New Roman" w:cs="Times New Roman"/>
          <w:sz w:val="28"/>
          <w:szCs w:val="28"/>
          <w:lang w:val="uk-UA"/>
        </w:rPr>
        <w:t>вплив фінансової</w:t>
      </w:r>
      <w:r w:rsidRPr="00604847">
        <w:rPr>
          <w:rFonts w:ascii="Times New Roman" w:eastAsia="Times New Roman" w:hAnsi="Times New Roman" w:cs="Times New Roman"/>
          <w:sz w:val="28"/>
          <w:szCs w:val="28"/>
        </w:rPr>
        <w:t xml:space="preserve"> кризи, політичної і соціальної нестабільності, відсутність коштів у держави на підтримку його розвитку.</w:t>
      </w:r>
    </w:p>
    <w:p w:rsidR="009478A3" w:rsidRPr="00604847" w:rsidRDefault="009478A3" w:rsidP="00525653">
      <w:pPr>
        <w:spacing w:after="0" w:line="360" w:lineRule="auto"/>
        <w:ind w:firstLine="709"/>
        <w:contextualSpacing/>
        <w:jc w:val="center"/>
        <w:rPr>
          <w:rFonts w:ascii="Times New Roman" w:hAnsi="Times New Roman" w:cs="Times New Roman"/>
          <w:sz w:val="28"/>
          <w:szCs w:val="28"/>
        </w:rPr>
      </w:pPr>
    </w:p>
    <w:p w:rsidR="00473CAC" w:rsidRPr="00792FF4" w:rsidRDefault="00473CAC" w:rsidP="00525653">
      <w:pPr>
        <w:spacing w:after="0" w:line="360" w:lineRule="auto"/>
        <w:ind w:firstLine="709"/>
        <w:contextualSpacing/>
        <w:jc w:val="center"/>
        <w:rPr>
          <w:rFonts w:ascii="Times New Roman" w:hAnsi="Times New Roman" w:cs="Times New Roman"/>
          <w:sz w:val="28"/>
          <w:szCs w:val="28"/>
          <w:lang w:val="uk-UA"/>
        </w:rPr>
      </w:pPr>
    </w:p>
    <w:p w:rsidR="009478A3" w:rsidRDefault="009478A3" w:rsidP="00EC2710">
      <w:pPr>
        <w:spacing w:after="0" w:line="360" w:lineRule="auto"/>
        <w:contextualSpacing/>
        <w:rPr>
          <w:rFonts w:ascii="Times New Roman" w:hAnsi="Times New Roman" w:cs="Times New Roman"/>
          <w:sz w:val="28"/>
          <w:szCs w:val="28"/>
          <w:lang w:val="uk-UA"/>
        </w:rPr>
      </w:pPr>
    </w:p>
    <w:p w:rsidR="00EC2710" w:rsidRPr="00792FF4" w:rsidRDefault="00EC2710" w:rsidP="00EC2710">
      <w:pPr>
        <w:spacing w:after="0" w:line="360" w:lineRule="auto"/>
        <w:contextualSpacing/>
        <w:rPr>
          <w:rFonts w:ascii="Times New Roman" w:hAnsi="Times New Roman" w:cs="Times New Roman"/>
          <w:sz w:val="28"/>
          <w:szCs w:val="28"/>
          <w:lang w:val="uk-UA"/>
        </w:rPr>
      </w:pPr>
    </w:p>
    <w:p w:rsidR="00943B9E" w:rsidRPr="00792FF4" w:rsidRDefault="00943B9E" w:rsidP="00F32EEB">
      <w:pPr>
        <w:spacing w:after="0" w:line="360" w:lineRule="auto"/>
        <w:contextualSpacing/>
        <w:rPr>
          <w:rFonts w:ascii="Times New Roman" w:hAnsi="Times New Roman" w:cs="Times New Roman"/>
          <w:sz w:val="28"/>
          <w:szCs w:val="28"/>
          <w:lang w:val="uk-UA"/>
        </w:rPr>
      </w:pPr>
    </w:p>
    <w:p w:rsidR="007265A1" w:rsidRPr="007265A1" w:rsidRDefault="007265A1" w:rsidP="00525653">
      <w:pPr>
        <w:spacing w:after="0" w:line="360" w:lineRule="auto"/>
        <w:ind w:firstLine="709"/>
        <w:contextualSpacing/>
        <w:jc w:val="center"/>
        <w:rPr>
          <w:rFonts w:ascii="Times New Roman" w:hAnsi="Times New Roman" w:cs="Times New Roman"/>
          <w:b/>
          <w:sz w:val="28"/>
          <w:szCs w:val="28"/>
          <w:lang w:val="uk-UA"/>
        </w:rPr>
      </w:pPr>
      <w:r w:rsidRPr="007265A1">
        <w:rPr>
          <w:rFonts w:ascii="Times New Roman" w:hAnsi="Times New Roman" w:cs="Times New Roman"/>
          <w:b/>
          <w:sz w:val="28"/>
          <w:szCs w:val="28"/>
          <w:lang w:val="uk-UA"/>
        </w:rPr>
        <w:lastRenderedPageBreak/>
        <w:t>РОЗДІЛ</w:t>
      </w:r>
      <w:r w:rsidR="003737B5" w:rsidRPr="00604847">
        <w:rPr>
          <w:rFonts w:ascii="Times New Roman" w:hAnsi="Times New Roman" w:cs="Times New Roman"/>
          <w:b/>
          <w:sz w:val="28"/>
          <w:szCs w:val="28"/>
          <w:lang w:val="uk-UA"/>
        </w:rPr>
        <w:t xml:space="preserve"> 3.</w:t>
      </w:r>
    </w:p>
    <w:p w:rsidR="003737B5" w:rsidRDefault="003737B5" w:rsidP="00525653">
      <w:pPr>
        <w:spacing w:after="0" w:line="360" w:lineRule="auto"/>
        <w:ind w:firstLine="709"/>
        <w:contextualSpacing/>
        <w:jc w:val="center"/>
        <w:rPr>
          <w:rFonts w:ascii="Times New Roman" w:hAnsi="Times New Roman" w:cs="Times New Roman"/>
          <w:b/>
          <w:sz w:val="28"/>
          <w:szCs w:val="28"/>
          <w:lang w:val="uk-UA"/>
        </w:rPr>
      </w:pPr>
      <w:r w:rsidRPr="007265A1">
        <w:rPr>
          <w:rFonts w:ascii="Times New Roman" w:hAnsi="Times New Roman" w:cs="Times New Roman"/>
          <w:b/>
          <w:sz w:val="28"/>
          <w:szCs w:val="28"/>
          <w:lang w:val="uk-UA"/>
        </w:rPr>
        <w:t>Перспективи активізації інвестування у вітчизняні облігації.</w:t>
      </w:r>
    </w:p>
    <w:p w:rsidR="007265A1" w:rsidRDefault="007265A1" w:rsidP="00525653">
      <w:pPr>
        <w:spacing w:after="0" w:line="360" w:lineRule="auto"/>
        <w:ind w:firstLine="709"/>
        <w:contextualSpacing/>
        <w:jc w:val="center"/>
        <w:rPr>
          <w:rFonts w:ascii="Times New Roman" w:hAnsi="Times New Roman" w:cs="Times New Roman"/>
          <w:b/>
          <w:sz w:val="28"/>
          <w:szCs w:val="28"/>
          <w:lang w:val="uk-UA"/>
        </w:rPr>
      </w:pPr>
    </w:p>
    <w:p w:rsidR="005758D0" w:rsidRDefault="005758D0" w:rsidP="00525653">
      <w:pPr>
        <w:spacing w:after="0"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3.1 Поняття та види фінансових інвестицій</w:t>
      </w:r>
    </w:p>
    <w:p w:rsidR="005758D0" w:rsidRDefault="005758D0" w:rsidP="00525653">
      <w:pPr>
        <w:spacing w:after="0" w:line="360" w:lineRule="auto"/>
        <w:ind w:firstLine="709"/>
        <w:contextualSpacing/>
        <w:jc w:val="center"/>
        <w:rPr>
          <w:rFonts w:ascii="Times New Roman" w:hAnsi="Times New Roman" w:cs="Times New Roman"/>
          <w:b/>
          <w:sz w:val="28"/>
          <w:szCs w:val="28"/>
          <w:lang w:val="uk-UA"/>
        </w:rPr>
      </w:pPr>
    </w:p>
    <w:p w:rsidR="00924FC6" w:rsidRDefault="00924FC6" w:rsidP="00924FC6">
      <w:pPr>
        <w:spacing w:after="0" w:line="360" w:lineRule="auto"/>
        <w:ind w:firstLine="709"/>
        <w:contextualSpacing/>
        <w:jc w:val="both"/>
        <w:rPr>
          <w:rFonts w:ascii="Times New Roman" w:hAnsi="Times New Roman" w:cs="Times New Roman"/>
          <w:color w:val="000000"/>
          <w:sz w:val="28"/>
          <w:szCs w:val="28"/>
          <w:shd w:val="clear" w:color="auto" w:fill="FFFFFF"/>
        </w:rPr>
      </w:pPr>
      <w:r w:rsidRPr="00604847">
        <w:rPr>
          <w:rFonts w:ascii="Times New Roman" w:hAnsi="Times New Roman" w:cs="Times New Roman"/>
          <w:color w:val="000000"/>
          <w:sz w:val="28"/>
          <w:szCs w:val="28"/>
          <w:shd w:val="clear" w:color="auto" w:fill="FFFFFF"/>
          <w:lang w:val="uk-UA"/>
        </w:rPr>
        <w:t xml:space="preserve">В економіці під фінансовими інвестиціями мають на увазі вкладення в цінні папери з метою отримання прибутку. </w:t>
      </w:r>
      <w:r w:rsidRPr="00924FC6">
        <w:rPr>
          <w:rFonts w:ascii="Times New Roman" w:hAnsi="Times New Roman" w:cs="Times New Roman"/>
          <w:color w:val="000000"/>
          <w:sz w:val="28"/>
          <w:szCs w:val="28"/>
          <w:shd w:val="clear" w:color="auto" w:fill="FFFFFF"/>
        </w:rPr>
        <w:t>Цінні папери в даному випадку представляють собою фінансові інструменти, які працюють і приносять інвестору дохід. Такими інструментами можуть бути акції, боргові зобов'язання, паї та інші фінансові активи. Крім фінансових, існують реальні інвестиції – вкладення засобів в реальний сектор економіки: промисловість, буд</w:t>
      </w:r>
      <w:r>
        <w:rPr>
          <w:rFonts w:ascii="Times New Roman" w:hAnsi="Times New Roman" w:cs="Times New Roman"/>
          <w:color w:val="000000"/>
          <w:sz w:val="28"/>
          <w:szCs w:val="28"/>
          <w:shd w:val="clear" w:color="auto" w:fill="FFFFFF"/>
        </w:rPr>
        <w:t>івництво, сільське господарство.</w:t>
      </w:r>
    </w:p>
    <w:p w:rsidR="00936206" w:rsidRDefault="00924FC6" w:rsidP="00924FC6">
      <w:pPr>
        <w:spacing w:after="0" w:line="360" w:lineRule="auto"/>
        <w:ind w:firstLine="709"/>
        <w:contextualSpacing/>
        <w:jc w:val="both"/>
        <w:rPr>
          <w:rFonts w:ascii="Times New Roman" w:hAnsi="Times New Roman" w:cs="Times New Roman"/>
          <w:color w:val="000000"/>
          <w:sz w:val="28"/>
          <w:szCs w:val="28"/>
          <w:shd w:val="clear" w:color="auto" w:fill="FFFFFF"/>
        </w:rPr>
      </w:pPr>
      <w:r w:rsidRPr="00924FC6">
        <w:rPr>
          <w:rFonts w:ascii="Times New Roman" w:hAnsi="Times New Roman" w:cs="Times New Roman"/>
          <w:color w:val="000000"/>
          <w:sz w:val="28"/>
          <w:szCs w:val="28"/>
          <w:shd w:val="clear" w:color="auto" w:fill="FFFFFF"/>
        </w:rPr>
        <w:t>Портфель фінансових інвестицій формується з урахуванням дохідності фінансових інструментів. Ринок фінансових інвестицій складається з валютного, кредитного та фондового ринків. На фондовому ринку ведеться купівля та продаж акці</w:t>
      </w:r>
      <w:r>
        <w:rPr>
          <w:rFonts w:ascii="Times New Roman" w:hAnsi="Times New Roman" w:cs="Times New Roman"/>
          <w:color w:val="000000"/>
          <w:sz w:val="28"/>
          <w:szCs w:val="28"/>
          <w:shd w:val="clear" w:color="auto" w:fill="FFFFFF"/>
        </w:rPr>
        <w:t>й</w:t>
      </w:r>
      <w:r w:rsidRPr="00924FC6">
        <w:rPr>
          <w:rFonts w:ascii="Times New Roman" w:hAnsi="Times New Roman" w:cs="Times New Roman"/>
          <w:color w:val="000000"/>
          <w:sz w:val="28"/>
          <w:szCs w:val="28"/>
          <w:shd w:val="clear" w:color="auto" w:fill="FFFFFF"/>
        </w:rPr>
        <w:t xml:space="preserve"> комерційних підприємств. На валютному ринку ведеться торгівля опціонами на придбання валюти, торгівля на FOREX. Учасники кредитного ринку купують боргові зобов'язання, в тому числі облігації, випущені державою і підприємствами. </w:t>
      </w:r>
    </w:p>
    <w:p w:rsidR="00936206" w:rsidRDefault="00924FC6" w:rsidP="00924FC6">
      <w:pPr>
        <w:spacing w:after="0" w:line="360" w:lineRule="auto"/>
        <w:ind w:firstLine="709"/>
        <w:contextualSpacing/>
        <w:jc w:val="both"/>
        <w:rPr>
          <w:rFonts w:ascii="Times New Roman" w:hAnsi="Times New Roman" w:cs="Times New Roman"/>
          <w:color w:val="000000"/>
          <w:sz w:val="28"/>
          <w:szCs w:val="28"/>
          <w:shd w:val="clear" w:color="auto" w:fill="FFFFFF"/>
        </w:rPr>
      </w:pPr>
      <w:r w:rsidRPr="00924FC6">
        <w:rPr>
          <w:rFonts w:ascii="Times New Roman" w:hAnsi="Times New Roman" w:cs="Times New Roman"/>
          <w:color w:val="000000"/>
          <w:sz w:val="28"/>
          <w:szCs w:val="28"/>
          <w:shd w:val="clear" w:color="auto" w:fill="FFFFFF"/>
        </w:rPr>
        <w:t xml:space="preserve">Розрізняють кілька видів фінансових інвестицій, а саме: </w:t>
      </w:r>
    </w:p>
    <w:p w:rsidR="007158A0" w:rsidRDefault="00C16FDE" w:rsidP="007158A0">
      <w:pPr>
        <w:pStyle w:val="a6"/>
        <w:numPr>
          <w:ilvl w:val="0"/>
          <w:numId w:val="25"/>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C16FDE">
        <w:rPr>
          <w:rFonts w:ascii="Times New Roman" w:eastAsia="Times New Roman" w:hAnsi="Times New Roman" w:cs="Times New Roman"/>
          <w:sz w:val="28"/>
          <w:szCs w:val="28"/>
        </w:rPr>
        <w:t>Інвестиції капіталу в статутні фонди підприємств – ця форма фінансового інвестування дає змогу інвестору мати тісний зв'язок з операційною діяльністю підприємства. По суті, вона підміняє реальне інвестування, однак відрізняється меншою капіталоємністю і більшою оперативністю. Як правило, здійснюється для вирішення конкретних завдань, що стоять перед підприємством – вихід на нові ринки збуту, розширення асортименту продукції, інноваційні рішення, інші напрямки стратегічного розвитку підприємства. Основною метою інвестора в цьому разі є не стільки високий дохід, скільки фінансовий вплив на підприємстві для можливості формування стабільного отримання своєї частки операційного прибутку.</w:t>
      </w:r>
    </w:p>
    <w:p w:rsidR="007158A0" w:rsidRDefault="00C16FDE" w:rsidP="007158A0">
      <w:pPr>
        <w:pStyle w:val="a6"/>
        <w:numPr>
          <w:ilvl w:val="0"/>
          <w:numId w:val="25"/>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7158A0">
        <w:rPr>
          <w:rFonts w:ascii="Times New Roman" w:eastAsia="Times New Roman" w:hAnsi="Times New Roman" w:cs="Times New Roman"/>
          <w:sz w:val="28"/>
          <w:szCs w:val="28"/>
        </w:rPr>
        <w:lastRenderedPageBreak/>
        <w:t>Вкладення капіталу в різні дохідні види інструментів грошового ринку. Така форма фінансового інвестування передбачає ефективне використання грошових активів підприємства, які тимчасово вільні і не задіяні у виробничо-господарському циклі. Найбільш поширеним видом цієї форми інвестування є депозит в комерційних банках.</w:t>
      </w:r>
    </w:p>
    <w:p w:rsidR="007158A0" w:rsidRDefault="00C16FDE" w:rsidP="007158A0">
      <w:pPr>
        <w:pStyle w:val="a6"/>
        <w:numPr>
          <w:ilvl w:val="0"/>
          <w:numId w:val="25"/>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7158A0">
        <w:rPr>
          <w:rFonts w:ascii="Times New Roman" w:eastAsia="Times New Roman" w:hAnsi="Times New Roman" w:cs="Times New Roman"/>
          <w:sz w:val="28"/>
          <w:szCs w:val="28"/>
        </w:rPr>
        <w:t>Вкладення капіталу в різні доходні інструменти фондового ринку. Ця найбільш масова форма характеризується вкладенням капіталу в цінні папери, що вільно обертаються на фондових ринках. Популярність інвестицій в цінні папери та похідні від них інструменти (деривативи) обумовлена наявністю великого переліку інструментів, високою потенційною прибутковістю, безліччю інвестиційних стратегій і різною тривалістю періодів інвестування.</w:t>
      </w:r>
    </w:p>
    <w:p w:rsidR="007158A0" w:rsidRPr="007158A0" w:rsidRDefault="00924FC6" w:rsidP="007158A0">
      <w:pPr>
        <w:pStyle w:val="a6"/>
        <w:numPr>
          <w:ilvl w:val="0"/>
          <w:numId w:val="25"/>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7158A0">
        <w:rPr>
          <w:rFonts w:ascii="Times New Roman" w:hAnsi="Times New Roman" w:cs="Times New Roman"/>
          <w:color w:val="000000"/>
          <w:sz w:val="28"/>
          <w:szCs w:val="28"/>
          <w:shd w:val="clear" w:color="auto" w:fill="FFFFFF"/>
        </w:rPr>
        <w:t>Купівля акцій. Прибутковість цього виду інвестицій вищ</w:t>
      </w:r>
      <w:r w:rsidR="00936206" w:rsidRPr="007158A0">
        <w:rPr>
          <w:rFonts w:ascii="Times New Roman" w:hAnsi="Times New Roman" w:cs="Times New Roman"/>
          <w:color w:val="000000"/>
          <w:sz w:val="28"/>
          <w:szCs w:val="28"/>
          <w:shd w:val="clear" w:color="auto" w:fill="FFFFFF"/>
        </w:rPr>
        <w:t>а</w:t>
      </w:r>
      <w:r w:rsidRPr="007158A0">
        <w:rPr>
          <w:rFonts w:ascii="Times New Roman" w:hAnsi="Times New Roman" w:cs="Times New Roman"/>
          <w:color w:val="000000"/>
          <w:sz w:val="28"/>
          <w:szCs w:val="28"/>
          <w:shd w:val="clear" w:color="auto" w:fill="FFFFFF"/>
        </w:rPr>
        <w:t xml:space="preserve"> в порівнянні з іншими, але і</w:t>
      </w:r>
      <w:r w:rsidR="00936206" w:rsidRPr="007158A0">
        <w:rPr>
          <w:rFonts w:ascii="Times New Roman" w:hAnsi="Times New Roman" w:cs="Times New Roman"/>
          <w:color w:val="000000"/>
          <w:sz w:val="28"/>
          <w:szCs w:val="28"/>
          <w:shd w:val="clear" w:color="auto" w:fill="FFFFFF"/>
        </w:rPr>
        <w:t>снують ы</w:t>
      </w:r>
      <w:r w:rsidRPr="007158A0">
        <w:rPr>
          <w:rFonts w:ascii="Times New Roman" w:hAnsi="Times New Roman" w:cs="Times New Roman"/>
          <w:color w:val="000000"/>
          <w:sz w:val="28"/>
          <w:szCs w:val="28"/>
          <w:shd w:val="clear" w:color="auto" w:fill="FFFFFF"/>
        </w:rPr>
        <w:t xml:space="preserve"> більш істотні ризики. </w:t>
      </w:r>
    </w:p>
    <w:p w:rsidR="007158A0" w:rsidRPr="007158A0" w:rsidRDefault="00924FC6" w:rsidP="007158A0">
      <w:pPr>
        <w:pStyle w:val="a6"/>
        <w:numPr>
          <w:ilvl w:val="0"/>
          <w:numId w:val="25"/>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7158A0">
        <w:rPr>
          <w:rFonts w:ascii="Times New Roman" w:hAnsi="Times New Roman" w:cs="Times New Roman"/>
          <w:color w:val="000000"/>
          <w:sz w:val="28"/>
          <w:szCs w:val="28"/>
          <w:shd w:val="clear" w:color="auto" w:fill="FFFFFF"/>
        </w:rPr>
        <w:t xml:space="preserve">Придбання облігацій. Перевага цього фінансового інструменту – висока надійність, недолік – невисока прибутковість. Від рівня очікуваної прибутковості залежить рівень ризику. Емітенти – великі компанії і держава. </w:t>
      </w:r>
    </w:p>
    <w:p w:rsidR="007F58CD" w:rsidRPr="007158A0" w:rsidRDefault="00924FC6" w:rsidP="007158A0">
      <w:pPr>
        <w:pStyle w:val="a6"/>
        <w:numPr>
          <w:ilvl w:val="0"/>
          <w:numId w:val="25"/>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7158A0">
        <w:rPr>
          <w:rFonts w:ascii="Times New Roman" w:hAnsi="Times New Roman" w:cs="Times New Roman"/>
          <w:color w:val="000000"/>
          <w:sz w:val="28"/>
          <w:szCs w:val="28"/>
          <w:shd w:val="clear" w:color="auto" w:fill="FFFFFF"/>
        </w:rPr>
        <w:t xml:space="preserve">Інвестування в пайові інвестиційні фонди (Піфи). У таких фондах капіталом управляють професіонали, тому ризики зводяться до мінімуму, а рівень прибутковості – один з найвищих. </w:t>
      </w:r>
    </w:p>
    <w:p w:rsidR="007F58CD" w:rsidRDefault="00924FC6" w:rsidP="007F58CD">
      <w:pPr>
        <w:tabs>
          <w:tab w:val="left" w:pos="1134"/>
        </w:tabs>
        <w:spacing w:after="0" w:line="360" w:lineRule="auto"/>
        <w:ind w:firstLine="709"/>
        <w:jc w:val="both"/>
        <w:rPr>
          <w:rFonts w:ascii="Times New Roman" w:hAnsi="Times New Roman" w:cs="Times New Roman"/>
          <w:color w:val="000000"/>
          <w:sz w:val="28"/>
          <w:szCs w:val="28"/>
          <w:shd w:val="clear" w:color="auto" w:fill="FFFFFF"/>
        </w:rPr>
      </w:pPr>
      <w:r w:rsidRPr="007F58CD">
        <w:rPr>
          <w:rFonts w:ascii="Times New Roman" w:hAnsi="Times New Roman" w:cs="Times New Roman"/>
          <w:color w:val="000000"/>
          <w:sz w:val="28"/>
          <w:szCs w:val="28"/>
          <w:shd w:val="clear" w:color="auto" w:fill="FFFFFF"/>
        </w:rPr>
        <w:t xml:space="preserve">Крім цього, інвестувати капітал можна </w:t>
      </w:r>
      <w:r w:rsidR="007F58CD">
        <w:rPr>
          <w:rFonts w:ascii="Times New Roman" w:hAnsi="Times New Roman" w:cs="Times New Roman"/>
          <w:color w:val="000000"/>
          <w:sz w:val="28"/>
          <w:szCs w:val="28"/>
          <w:shd w:val="clear" w:color="auto" w:fill="FFFFFF"/>
        </w:rPr>
        <w:t xml:space="preserve">в </w:t>
      </w:r>
      <w:r w:rsidRPr="007F58CD">
        <w:rPr>
          <w:rFonts w:ascii="Times New Roman" w:hAnsi="Times New Roman" w:cs="Times New Roman"/>
          <w:color w:val="000000"/>
          <w:sz w:val="28"/>
          <w:szCs w:val="28"/>
          <w:shd w:val="clear" w:color="auto" w:fill="FFFFFF"/>
        </w:rPr>
        <w:t xml:space="preserve">опціони, дорогоцінні метали і ф'ючерси. Управління фінансовими інвестиціями «Золоте» правило інвестування: «Не кладіть всі яйця в одну корзину». Потрібно грамотно поєднувати вкладення у різні фінансові активи. Не варто інвестувати в щось одне, яким би дохідним не здавався цей інструмент. </w:t>
      </w:r>
    </w:p>
    <w:p w:rsidR="00F51685" w:rsidRDefault="00924FC6" w:rsidP="007F58CD">
      <w:pPr>
        <w:tabs>
          <w:tab w:val="left" w:pos="1134"/>
        </w:tabs>
        <w:spacing w:after="0" w:line="360" w:lineRule="auto"/>
        <w:ind w:firstLine="709"/>
        <w:jc w:val="both"/>
        <w:rPr>
          <w:rFonts w:ascii="Times New Roman" w:hAnsi="Times New Roman" w:cs="Times New Roman"/>
          <w:color w:val="000000"/>
          <w:sz w:val="28"/>
          <w:szCs w:val="28"/>
          <w:shd w:val="clear" w:color="auto" w:fill="FFFFFF"/>
        </w:rPr>
      </w:pPr>
      <w:r w:rsidRPr="007F58CD">
        <w:rPr>
          <w:rFonts w:ascii="Times New Roman" w:hAnsi="Times New Roman" w:cs="Times New Roman"/>
          <w:color w:val="000000"/>
          <w:sz w:val="28"/>
          <w:szCs w:val="28"/>
          <w:shd w:val="clear" w:color="auto" w:fill="FFFFFF"/>
        </w:rPr>
        <w:t>У портфелі мають бути інвестиції з різним рівнем дохідності, а які з них будуть переважати – залежить від обраної спрямованості, яка може бути агресивн</w:t>
      </w:r>
      <w:r w:rsidR="007F58CD">
        <w:rPr>
          <w:rFonts w:ascii="Times New Roman" w:hAnsi="Times New Roman" w:cs="Times New Roman"/>
          <w:color w:val="000000"/>
          <w:sz w:val="28"/>
          <w:szCs w:val="28"/>
          <w:shd w:val="clear" w:color="auto" w:fill="FFFFFF"/>
        </w:rPr>
        <w:t>ою</w:t>
      </w:r>
      <w:r w:rsidRPr="007F58CD">
        <w:rPr>
          <w:rFonts w:ascii="Times New Roman" w:hAnsi="Times New Roman" w:cs="Times New Roman"/>
          <w:color w:val="000000"/>
          <w:sz w:val="28"/>
          <w:szCs w:val="28"/>
          <w:shd w:val="clear" w:color="auto" w:fill="FFFFFF"/>
        </w:rPr>
        <w:t xml:space="preserve"> або консервативн</w:t>
      </w:r>
      <w:r w:rsidR="007F58CD">
        <w:rPr>
          <w:rFonts w:ascii="Times New Roman" w:hAnsi="Times New Roman" w:cs="Times New Roman"/>
          <w:color w:val="000000"/>
          <w:sz w:val="28"/>
          <w:szCs w:val="28"/>
          <w:shd w:val="clear" w:color="auto" w:fill="FFFFFF"/>
        </w:rPr>
        <w:t>ою</w:t>
      </w:r>
      <w:r w:rsidRPr="007F58CD">
        <w:rPr>
          <w:rFonts w:ascii="Times New Roman" w:hAnsi="Times New Roman" w:cs="Times New Roman"/>
          <w:color w:val="000000"/>
          <w:sz w:val="28"/>
          <w:szCs w:val="28"/>
          <w:shd w:val="clear" w:color="auto" w:fill="FFFFFF"/>
        </w:rPr>
        <w:t xml:space="preserve">. Агресивна спрямованість означає, що переважають високоприбуткові ризикові інструменти, консервативна – більшу частину портфеля складають цінні папери з мінімальним рівнем ризику і низькою прибутковістю. Інвестор може сам </w:t>
      </w:r>
      <w:r w:rsidR="007F58CD">
        <w:rPr>
          <w:rFonts w:ascii="Times New Roman" w:hAnsi="Times New Roman" w:cs="Times New Roman"/>
          <w:color w:val="000000"/>
          <w:sz w:val="28"/>
          <w:szCs w:val="28"/>
          <w:shd w:val="clear" w:color="auto" w:fill="FFFFFF"/>
        </w:rPr>
        <w:t>керувати</w:t>
      </w:r>
      <w:r w:rsidRPr="007F58CD">
        <w:rPr>
          <w:rFonts w:ascii="Times New Roman" w:hAnsi="Times New Roman" w:cs="Times New Roman"/>
          <w:color w:val="000000"/>
          <w:sz w:val="28"/>
          <w:szCs w:val="28"/>
          <w:shd w:val="clear" w:color="auto" w:fill="FFFFFF"/>
        </w:rPr>
        <w:t xml:space="preserve"> інвестиціями або довірити це </w:t>
      </w:r>
      <w:r w:rsidRPr="007F58CD">
        <w:rPr>
          <w:rFonts w:ascii="Times New Roman" w:hAnsi="Times New Roman" w:cs="Times New Roman"/>
          <w:color w:val="000000"/>
          <w:sz w:val="28"/>
          <w:szCs w:val="28"/>
          <w:shd w:val="clear" w:color="auto" w:fill="FFFFFF"/>
        </w:rPr>
        <w:lastRenderedPageBreak/>
        <w:t xml:space="preserve">керуючої компанії. Якщо немає відповідного досвіду, найнадійніше вкладати капітал в ПІФ, де </w:t>
      </w:r>
      <w:r w:rsidR="00F51685">
        <w:rPr>
          <w:rFonts w:ascii="Times New Roman" w:hAnsi="Times New Roman" w:cs="Times New Roman"/>
          <w:color w:val="000000"/>
          <w:sz w:val="28"/>
          <w:szCs w:val="28"/>
          <w:shd w:val="clear" w:color="auto" w:fill="FFFFFF"/>
        </w:rPr>
        <w:t>ним</w:t>
      </w:r>
      <w:r w:rsidRPr="007F58CD">
        <w:rPr>
          <w:rFonts w:ascii="Times New Roman" w:hAnsi="Times New Roman" w:cs="Times New Roman"/>
          <w:color w:val="000000"/>
          <w:sz w:val="28"/>
          <w:szCs w:val="28"/>
          <w:shd w:val="clear" w:color="auto" w:fill="FFFFFF"/>
        </w:rPr>
        <w:t xml:space="preserve"> будуть керувати фахівці в сфері інвестування. </w:t>
      </w:r>
    </w:p>
    <w:p w:rsidR="00EE4FCE" w:rsidRDefault="00924FC6" w:rsidP="00EE4FCE">
      <w:pPr>
        <w:tabs>
          <w:tab w:val="left" w:pos="1134"/>
        </w:tabs>
        <w:spacing w:after="0" w:line="360" w:lineRule="auto"/>
        <w:ind w:firstLine="709"/>
        <w:jc w:val="both"/>
        <w:rPr>
          <w:rFonts w:ascii="Times New Roman" w:hAnsi="Times New Roman" w:cs="Times New Roman"/>
          <w:color w:val="000000"/>
          <w:sz w:val="28"/>
          <w:szCs w:val="28"/>
          <w:shd w:val="clear" w:color="auto" w:fill="FFFFFF"/>
          <w:lang w:val="uk-UA"/>
        </w:rPr>
      </w:pPr>
      <w:r w:rsidRPr="007F58CD">
        <w:rPr>
          <w:rFonts w:ascii="Times New Roman" w:hAnsi="Times New Roman" w:cs="Times New Roman"/>
          <w:color w:val="000000"/>
          <w:sz w:val="28"/>
          <w:szCs w:val="28"/>
          <w:shd w:val="clear" w:color="auto" w:fill="FFFFFF"/>
        </w:rPr>
        <w:t xml:space="preserve">Інші варіанти – інвестиції в активи з мінімальним рівнем ризику: купівля державних облігацій, відкриття банківських депозитів. Деякі види фінансових інвестицій є взаємовиключними, тому, формуючи інвестиційний портфель, потрібно правильно оцінити кожний фінансовий інструмент. Суть оцінки у тому, щоб визначити, наскільки збільшилася або зменшилася вартість капіталу за певний період. Крім зміни вартості, враховується ступінь ризику та інші фактори. </w:t>
      </w:r>
      <w:r w:rsidR="00EE4FCE">
        <w:rPr>
          <w:rFonts w:ascii="Times New Roman" w:hAnsi="Times New Roman" w:cs="Times New Roman"/>
          <w:color w:val="000000"/>
          <w:sz w:val="28"/>
          <w:szCs w:val="28"/>
          <w:shd w:val="clear" w:color="auto" w:fill="FFFFFF"/>
          <w:lang w:val="uk-UA"/>
        </w:rPr>
        <w:t xml:space="preserve"> </w:t>
      </w:r>
    </w:p>
    <w:p w:rsidR="00F51685" w:rsidRDefault="00924FC6" w:rsidP="00EE4FCE">
      <w:pPr>
        <w:tabs>
          <w:tab w:val="left" w:pos="1134"/>
        </w:tabs>
        <w:spacing w:after="0" w:line="360" w:lineRule="auto"/>
        <w:ind w:firstLine="709"/>
        <w:jc w:val="both"/>
        <w:rPr>
          <w:rFonts w:ascii="Times New Roman" w:hAnsi="Times New Roman" w:cs="Times New Roman"/>
          <w:color w:val="000000"/>
          <w:sz w:val="28"/>
          <w:szCs w:val="28"/>
          <w:shd w:val="clear" w:color="auto" w:fill="FFFFFF"/>
        </w:rPr>
      </w:pPr>
      <w:r w:rsidRPr="007F58CD">
        <w:rPr>
          <w:rFonts w:ascii="Times New Roman" w:hAnsi="Times New Roman" w:cs="Times New Roman"/>
          <w:color w:val="000000"/>
          <w:sz w:val="28"/>
          <w:szCs w:val="28"/>
          <w:shd w:val="clear" w:color="auto" w:fill="FFFFFF"/>
        </w:rPr>
        <w:t xml:space="preserve">Оцінка фінансових інвестицій виконується із застосуванням спеціального програмного забезпечення. Її можна здійснити самостійно, але краще скористатися послугами досвідченого брокера. </w:t>
      </w:r>
    </w:p>
    <w:p w:rsidR="00EE4FCE" w:rsidRDefault="00924FC6" w:rsidP="00EE4FCE">
      <w:pPr>
        <w:tabs>
          <w:tab w:val="left" w:pos="1134"/>
        </w:tabs>
        <w:spacing w:after="0" w:line="360" w:lineRule="auto"/>
        <w:ind w:firstLine="709"/>
        <w:jc w:val="both"/>
        <w:rPr>
          <w:rFonts w:ascii="Times New Roman" w:hAnsi="Times New Roman" w:cs="Times New Roman"/>
          <w:color w:val="000000"/>
          <w:sz w:val="28"/>
          <w:szCs w:val="28"/>
          <w:shd w:val="clear" w:color="auto" w:fill="FFFFFF"/>
          <w:lang w:val="uk-UA"/>
        </w:rPr>
      </w:pPr>
      <w:r w:rsidRPr="007F58CD">
        <w:rPr>
          <w:rFonts w:ascii="Times New Roman" w:hAnsi="Times New Roman" w:cs="Times New Roman"/>
          <w:color w:val="000000"/>
          <w:sz w:val="28"/>
          <w:szCs w:val="28"/>
          <w:shd w:val="clear" w:color="auto" w:fill="FFFFFF"/>
        </w:rPr>
        <w:t xml:space="preserve">Аналіз фінансових інвестицій передбачає ретельне вивчення зовнішніх і внутрішніх чинників, здатних вплинути на дохідність фінансового інструменту. Після цього приймається рішення про доцільність інвестування. Зовнішні фактори – політика держави, стан економіки, прогноз руху котирувань валютних пар, курсів </w:t>
      </w:r>
      <w:r w:rsidR="00F51685">
        <w:rPr>
          <w:rFonts w:ascii="Times New Roman" w:hAnsi="Times New Roman" w:cs="Times New Roman"/>
          <w:color w:val="000000"/>
          <w:sz w:val="28"/>
          <w:szCs w:val="28"/>
          <w:shd w:val="clear" w:color="auto" w:fill="FFFFFF"/>
        </w:rPr>
        <w:t>украънських</w:t>
      </w:r>
      <w:r w:rsidRPr="007F58CD">
        <w:rPr>
          <w:rFonts w:ascii="Times New Roman" w:hAnsi="Times New Roman" w:cs="Times New Roman"/>
          <w:color w:val="000000"/>
          <w:sz w:val="28"/>
          <w:szCs w:val="28"/>
          <w:shd w:val="clear" w:color="auto" w:fill="FFFFFF"/>
        </w:rPr>
        <w:t xml:space="preserve"> ак</w:t>
      </w:r>
      <w:r w:rsidR="00F51685">
        <w:rPr>
          <w:rFonts w:ascii="Times New Roman" w:hAnsi="Times New Roman" w:cs="Times New Roman"/>
          <w:color w:val="000000"/>
          <w:sz w:val="28"/>
          <w:szCs w:val="28"/>
          <w:shd w:val="clear" w:color="auto" w:fill="FFFFFF"/>
        </w:rPr>
        <w:t>цій</w:t>
      </w:r>
      <w:r w:rsidRPr="007F58CD">
        <w:rPr>
          <w:rFonts w:ascii="Times New Roman" w:hAnsi="Times New Roman" w:cs="Times New Roman"/>
          <w:color w:val="000000"/>
          <w:sz w:val="28"/>
          <w:szCs w:val="28"/>
          <w:shd w:val="clear" w:color="auto" w:fill="FFFFFF"/>
        </w:rPr>
        <w:t>.</w:t>
      </w:r>
      <w:r w:rsidR="007158A0">
        <w:rPr>
          <w:rFonts w:ascii="Times New Roman" w:hAnsi="Times New Roman" w:cs="Times New Roman"/>
          <w:color w:val="000000"/>
          <w:sz w:val="28"/>
          <w:szCs w:val="28"/>
          <w:shd w:val="clear" w:color="auto" w:fill="FFFFFF"/>
        </w:rPr>
        <w:t xml:space="preserve"> </w:t>
      </w:r>
      <w:r w:rsidRPr="007F58CD">
        <w:rPr>
          <w:rFonts w:ascii="Times New Roman" w:hAnsi="Times New Roman" w:cs="Times New Roman"/>
          <w:color w:val="000000"/>
          <w:sz w:val="28"/>
          <w:szCs w:val="28"/>
          <w:shd w:val="clear" w:color="auto" w:fill="FFFFFF"/>
        </w:rPr>
        <w:t xml:space="preserve">Внутрішні фактори – звітність підприємства. Аналіз фінансових інвестицій у підприємство повинні виконувати незалежні експерти, тільки в такому випадку результати будуть об'єктивними. </w:t>
      </w:r>
      <w:r w:rsidR="00EE4FCE">
        <w:rPr>
          <w:rFonts w:ascii="Times New Roman" w:hAnsi="Times New Roman" w:cs="Times New Roman"/>
          <w:color w:val="000000"/>
          <w:sz w:val="28"/>
          <w:szCs w:val="28"/>
          <w:shd w:val="clear" w:color="auto" w:fill="FFFFFF"/>
          <w:lang w:val="uk-UA"/>
        </w:rPr>
        <w:t xml:space="preserve"> </w:t>
      </w:r>
    </w:p>
    <w:p w:rsidR="00727A3F" w:rsidRDefault="00924FC6" w:rsidP="00EE4FCE">
      <w:pPr>
        <w:tabs>
          <w:tab w:val="left" w:pos="1134"/>
        </w:tabs>
        <w:spacing w:after="0" w:line="360" w:lineRule="auto"/>
        <w:ind w:firstLine="709"/>
        <w:jc w:val="both"/>
        <w:rPr>
          <w:rFonts w:ascii="Times New Roman" w:hAnsi="Times New Roman" w:cs="Times New Roman"/>
          <w:color w:val="000000"/>
          <w:sz w:val="28"/>
          <w:szCs w:val="28"/>
          <w:shd w:val="clear" w:color="auto" w:fill="FFFFFF"/>
        </w:rPr>
      </w:pPr>
      <w:r w:rsidRPr="007F58CD">
        <w:rPr>
          <w:rFonts w:ascii="Times New Roman" w:hAnsi="Times New Roman" w:cs="Times New Roman"/>
          <w:color w:val="000000"/>
          <w:sz w:val="28"/>
          <w:szCs w:val="28"/>
          <w:shd w:val="clear" w:color="auto" w:fill="FFFFFF"/>
        </w:rPr>
        <w:t xml:space="preserve">Щоб з'ясувати, чи доцільно інвестувати у той чи інший проект, необхідно визначити його ефективність фінансових інвестицій. Якщо спостерігається не тільки збереження, але і приріст капіталу, ефективність можна вважати достатньою. Рівень ефективності визначається із застосуванням статичних та динамічних (дисконтованих) критеріїв. Критерії оцінки ефективності фінансових інвестицій у проект: </w:t>
      </w:r>
    </w:p>
    <w:p w:rsidR="00727A3F" w:rsidRPr="00727A3F" w:rsidRDefault="00924FC6" w:rsidP="00727A3F">
      <w:pPr>
        <w:pStyle w:val="a6"/>
        <w:numPr>
          <w:ilvl w:val="0"/>
          <w:numId w:val="24"/>
        </w:numPr>
        <w:tabs>
          <w:tab w:val="left" w:pos="1134"/>
        </w:tabs>
        <w:spacing w:after="0" w:line="360" w:lineRule="auto"/>
        <w:ind w:left="0" w:firstLine="709"/>
        <w:jc w:val="both"/>
        <w:rPr>
          <w:rFonts w:ascii="Times New Roman" w:hAnsi="Times New Roman" w:cs="Times New Roman"/>
          <w:color w:val="000000"/>
          <w:sz w:val="28"/>
          <w:szCs w:val="28"/>
          <w:shd w:val="clear" w:color="auto" w:fill="FFFFFF"/>
        </w:rPr>
      </w:pPr>
      <w:r w:rsidRPr="00727A3F">
        <w:rPr>
          <w:rFonts w:ascii="Times New Roman" w:hAnsi="Times New Roman" w:cs="Times New Roman"/>
          <w:color w:val="000000"/>
          <w:sz w:val="28"/>
          <w:szCs w:val="28"/>
          <w:shd w:val="clear" w:color="auto" w:fill="FFFFFF"/>
        </w:rPr>
        <w:t xml:space="preserve">чиста поточна вартість; </w:t>
      </w:r>
    </w:p>
    <w:p w:rsidR="00727A3F" w:rsidRPr="00727A3F" w:rsidRDefault="00924FC6" w:rsidP="00727A3F">
      <w:pPr>
        <w:pStyle w:val="a6"/>
        <w:numPr>
          <w:ilvl w:val="0"/>
          <w:numId w:val="24"/>
        </w:numPr>
        <w:tabs>
          <w:tab w:val="left" w:pos="1134"/>
        </w:tabs>
        <w:spacing w:after="0" w:line="360" w:lineRule="auto"/>
        <w:ind w:left="0" w:firstLine="709"/>
        <w:jc w:val="both"/>
        <w:rPr>
          <w:rFonts w:ascii="Times New Roman" w:hAnsi="Times New Roman" w:cs="Times New Roman"/>
          <w:color w:val="000000"/>
          <w:sz w:val="28"/>
          <w:szCs w:val="28"/>
          <w:shd w:val="clear" w:color="auto" w:fill="FFFFFF"/>
        </w:rPr>
      </w:pPr>
      <w:r w:rsidRPr="00727A3F">
        <w:rPr>
          <w:rFonts w:ascii="Times New Roman" w:hAnsi="Times New Roman" w:cs="Times New Roman"/>
          <w:color w:val="000000"/>
          <w:sz w:val="28"/>
          <w:szCs w:val="28"/>
          <w:shd w:val="clear" w:color="auto" w:fill="FFFFFF"/>
        </w:rPr>
        <w:t xml:space="preserve">період окупності; рентабельність інвестицій; </w:t>
      </w:r>
    </w:p>
    <w:p w:rsidR="00727A3F" w:rsidRPr="00727A3F" w:rsidRDefault="00924FC6" w:rsidP="00727A3F">
      <w:pPr>
        <w:pStyle w:val="a6"/>
        <w:numPr>
          <w:ilvl w:val="0"/>
          <w:numId w:val="24"/>
        </w:numPr>
        <w:tabs>
          <w:tab w:val="left" w:pos="1134"/>
        </w:tabs>
        <w:spacing w:after="0" w:line="360" w:lineRule="auto"/>
        <w:ind w:left="0" w:firstLine="709"/>
        <w:jc w:val="both"/>
        <w:rPr>
          <w:rFonts w:ascii="Times New Roman" w:hAnsi="Times New Roman" w:cs="Times New Roman"/>
          <w:color w:val="000000"/>
          <w:sz w:val="28"/>
          <w:szCs w:val="28"/>
          <w:shd w:val="clear" w:color="auto" w:fill="FFFFFF"/>
        </w:rPr>
      </w:pPr>
      <w:r w:rsidRPr="00727A3F">
        <w:rPr>
          <w:rFonts w:ascii="Times New Roman" w:hAnsi="Times New Roman" w:cs="Times New Roman"/>
          <w:color w:val="000000"/>
          <w:sz w:val="28"/>
          <w:szCs w:val="28"/>
          <w:shd w:val="clear" w:color="auto" w:fill="FFFFFF"/>
        </w:rPr>
        <w:t xml:space="preserve">внутрішня норма прибутку; розрахункова норма прибутку; </w:t>
      </w:r>
    </w:p>
    <w:p w:rsidR="00727A3F" w:rsidRPr="00727A3F" w:rsidRDefault="00924FC6" w:rsidP="00727A3F">
      <w:pPr>
        <w:pStyle w:val="a6"/>
        <w:numPr>
          <w:ilvl w:val="0"/>
          <w:numId w:val="24"/>
        </w:numPr>
        <w:tabs>
          <w:tab w:val="left" w:pos="1134"/>
        </w:tabs>
        <w:spacing w:after="0" w:line="360" w:lineRule="auto"/>
        <w:ind w:left="0" w:firstLine="709"/>
        <w:jc w:val="both"/>
        <w:rPr>
          <w:rFonts w:ascii="Times New Roman" w:hAnsi="Times New Roman" w:cs="Times New Roman"/>
          <w:color w:val="000000"/>
          <w:sz w:val="28"/>
          <w:szCs w:val="28"/>
          <w:shd w:val="clear" w:color="auto" w:fill="FFFFFF"/>
        </w:rPr>
      </w:pPr>
      <w:r w:rsidRPr="00727A3F">
        <w:rPr>
          <w:rFonts w:ascii="Times New Roman" w:hAnsi="Times New Roman" w:cs="Times New Roman"/>
          <w:color w:val="000000"/>
          <w:sz w:val="28"/>
          <w:szCs w:val="28"/>
          <w:shd w:val="clear" w:color="auto" w:fill="FFFFFF"/>
        </w:rPr>
        <w:t xml:space="preserve">чистий дисконтований дохід та інші показники. </w:t>
      </w:r>
    </w:p>
    <w:p w:rsidR="00924FC6" w:rsidRPr="007158A0" w:rsidRDefault="00924FC6" w:rsidP="007158A0">
      <w:pPr>
        <w:tabs>
          <w:tab w:val="left" w:pos="1134"/>
        </w:tabs>
        <w:spacing w:after="0" w:line="360" w:lineRule="auto"/>
        <w:ind w:firstLine="709"/>
        <w:jc w:val="both"/>
        <w:rPr>
          <w:rFonts w:ascii="Times New Roman" w:hAnsi="Times New Roman" w:cs="Times New Roman"/>
          <w:color w:val="000000"/>
          <w:sz w:val="28"/>
          <w:szCs w:val="28"/>
          <w:shd w:val="clear" w:color="auto" w:fill="FFFFFF"/>
        </w:rPr>
      </w:pPr>
      <w:r w:rsidRPr="007F58CD">
        <w:rPr>
          <w:rFonts w:ascii="Times New Roman" w:hAnsi="Times New Roman" w:cs="Times New Roman"/>
          <w:color w:val="000000"/>
          <w:sz w:val="28"/>
          <w:szCs w:val="28"/>
          <w:shd w:val="clear" w:color="auto" w:fill="FFFFFF"/>
        </w:rPr>
        <w:t>До статичних критеріями відносять норму прибутку і термін окупності, до динамічних – всі інші.</w:t>
      </w:r>
    </w:p>
    <w:p w:rsidR="005758D0" w:rsidRDefault="005758D0" w:rsidP="00525653">
      <w:pPr>
        <w:spacing w:after="0"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3.2 Перспективи інвестування у облігації</w:t>
      </w:r>
    </w:p>
    <w:p w:rsidR="005758D0" w:rsidRDefault="005758D0" w:rsidP="00525653">
      <w:pPr>
        <w:spacing w:after="0" w:line="360" w:lineRule="auto"/>
        <w:ind w:firstLine="709"/>
        <w:contextualSpacing/>
        <w:jc w:val="center"/>
        <w:rPr>
          <w:rFonts w:ascii="Times New Roman" w:hAnsi="Times New Roman" w:cs="Times New Roman"/>
          <w:b/>
          <w:sz w:val="28"/>
          <w:szCs w:val="28"/>
          <w:lang w:val="uk-UA"/>
        </w:rPr>
      </w:pPr>
    </w:p>
    <w:p w:rsidR="00A22DE0" w:rsidRDefault="00EE4FCE" w:rsidP="00EE4FCE">
      <w:pPr>
        <w:spacing w:after="0" w:line="360" w:lineRule="auto"/>
        <w:ind w:firstLine="709"/>
        <w:contextualSpacing/>
        <w:jc w:val="both"/>
        <w:rPr>
          <w:rFonts w:ascii="Times New Roman" w:hAnsi="Times New Roman" w:cs="Times New Roman"/>
          <w:sz w:val="28"/>
          <w:szCs w:val="28"/>
          <w:shd w:val="clear" w:color="auto" w:fill="FFFFFF"/>
        </w:rPr>
      </w:pPr>
      <w:r w:rsidRPr="00EE4FCE">
        <w:rPr>
          <w:rFonts w:ascii="Times New Roman" w:hAnsi="Times New Roman" w:cs="Times New Roman"/>
          <w:color w:val="000000"/>
          <w:sz w:val="28"/>
          <w:szCs w:val="28"/>
          <w:shd w:val="clear" w:color="auto" w:fill="FFFFFF"/>
          <w:lang w:val="uk-UA"/>
        </w:rPr>
        <w:t>І</w:t>
      </w:r>
      <w:r w:rsidR="00464124" w:rsidRPr="00EE4FCE">
        <w:rPr>
          <w:rFonts w:ascii="Times New Roman" w:hAnsi="Times New Roman" w:cs="Times New Roman"/>
          <w:sz w:val="28"/>
          <w:szCs w:val="28"/>
          <w:shd w:val="clear" w:color="auto" w:fill="FFFFFF"/>
        </w:rPr>
        <w:t>нвестува</w:t>
      </w:r>
      <w:r w:rsidR="00464124" w:rsidRPr="00464124">
        <w:rPr>
          <w:rFonts w:ascii="Times New Roman" w:hAnsi="Times New Roman" w:cs="Times New Roman"/>
          <w:sz w:val="28"/>
          <w:szCs w:val="28"/>
          <w:shd w:val="clear" w:color="auto" w:fill="FFFFFF"/>
        </w:rPr>
        <w:t xml:space="preserve">ння в облігації володіє рядом переваг для кожного учасника інвестиційного процесу. Між тим, як і будь-який фінансовий інструмент, інвестування в облігації має і свої недоліки. І те, і інше впливає на прийняття інвестиційних рішень, формуючи у інвестора, в кінцевому підсумку, ясне уявлення того, як інвестувати в облігації. Переваги і недоліки інвестування в облігації доцільно розглянути не тільки з позицій емітента облігацій, але і з позицій пересічних покупців. Переваги випуску облігацій для емітента Доцільність випуску облігацій для емітента диктується цілим рядом переваг. Розглянемо їх по пунктам. [1]. </w:t>
      </w:r>
    </w:p>
    <w:p w:rsidR="00245FBC" w:rsidRPr="00245FBC" w:rsidRDefault="00464124" w:rsidP="001706A1">
      <w:pPr>
        <w:pStyle w:val="a6"/>
        <w:numPr>
          <w:ilvl w:val="0"/>
          <w:numId w:val="26"/>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1706A1">
        <w:rPr>
          <w:rFonts w:ascii="Times New Roman" w:hAnsi="Times New Roman" w:cs="Times New Roman"/>
          <w:sz w:val="28"/>
          <w:szCs w:val="28"/>
          <w:shd w:val="clear" w:color="auto" w:fill="FFFFFF"/>
        </w:rPr>
        <w:t xml:space="preserve">Мінімальні терміни реєстрації випуску. Вся процедура може зайняти не більше 15 днів. Набагато довше триває процес розміщення випуску, на який вплинути буває вкрай важко. Тут можна порекомендувати користуватися послугами </w:t>
      </w:r>
      <w:r w:rsidR="00245FBC">
        <w:rPr>
          <w:rFonts w:ascii="Times New Roman" w:hAnsi="Times New Roman" w:cs="Times New Roman"/>
          <w:sz w:val="28"/>
          <w:szCs w:val="28"/>
          <w:shd w:val="clear" w:color="auto" w:fill="FFFFFF"/>
        </w:rPr>
        <w:t>профес</w:t>
      </w:r>
      <w:r w:rsidR="00245FBC">
        <w:rPr>
          <w:rFonts w:ascii="Times New Roman" w:hAnsi="Times New Roman" w:cs="Times New Roman"/>
          <w:sz w:val="28"/>
          <w:szCs w:val="28"/>
          <w:shd w:val="clear" w:color="auto" w:fill="FFFFFF"/>
          <w:lang w:val="uk-UA"/>
        </w:rPr>
        <w:t>і</w:t>
      </w:r>
      <w:r w:rsidR="00245FBC">
        <w:rPr>
          <w:rFonts w:ascii="Times New Roman" w:hAnsi="Times New Roman" w:cs="Times New Roman"/>
          <w:sz w:val="28"/>
          <w:szCs w:val="28"/>
          <w:shd w:val="clear" w:color="auto" w:fill="FFFFFF"/>
        </w:rPr>
        <w:t>йних</w:t>
      </w:r>
      <w:r w:rsidRPr="001706A1">
        <w:rPr>
          <w:rFonts w:ascii="Times New Roman" w:hAnsi="Times New Roman" w:cs="Times New Roman"/>
          <w:sz w:val="28"/>
          <w:szCs w:val="28"/>
          <w:shd w:val="clear" w:color="auto" w:fill="FFFFFF"/>
        </w:rPr>
        <w:t xml:space="preserve"> учасників ринку цінних паперів, у тому числі банків, що надають послуги з гарантованого розміще</w:t>
      </w:r>
      <w:r w:rsidR="00245FBC">
        <w:rPr>
          <w:rFonts w:ascii="Times New Roman" w:hAnsi="Times New Roman" w:cs="Times New Roman"/>
          <w:sz w:val="28"/>
          <w:szCs w:val="28"/>
          <w:shd w:val="clear" w:color="auto" w:fill="FFFFFF"/>
        </w:rPr>
        <w:t xml:space="preserve">ння облігаційних випусків. </w:t>
      </w:r>
    </w:p>
    <w:p w:rsidR="00245FBC" w:rsidRPr="00245FBC" w:rsidRDefault="00464124" w:rsidP="001706A1">
      <w:pPr>
        <w:pStyle w:val="a6"/>
        <w:numPr>
          <w:ilvl w:val="0"/>
          <w:numId w:val="26"/>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1706A1">
        <w:rPr>
          <w:rFonts w:ascii="Times New Roman" w:hAnsi="Times New Roman" w:cs="Times New Roman"/>
          <w:sz w:val="28"/>
          <w:szCs w:val="28"/>
          <w:shd w:val="clear" w:color="auto" w:fill="FFFFFF"/>
        </w:rPr>
        <w:t>Можливість розпоряджатися акумульованими в результаті продажу облігацій засобами протягом досить тривалого періоду часу (від півроку і більше), обмежуючись лише виплатами накопичу</w:t>
      </w:r>
      <w:r w:rsidR="00245FBC">
        <w:rPr>
          <w:rFonts w:ascii="Times New Roman" w:hAnsi="Times New Roman" w:cs="Times New Roman"/>
          <w:sz w:val="28"/>
          <w:szCs w:val="28"/>
          <w:shd w:val="clear" w:color="auto" w:fill="FFFFFF"/>
          <w:lang w:val="uk-UA"/>
        </w:rPr>
        <w:t>ваного</w:t>
      </w:r>
      <w:r w:rsidRPr="001706A1">
        <w:rPr>
          <w:rFonts w:ascii="Times New Roman" w:hAnsi="Times New Roman" w:cs="Times New Roman"/>
          <w:sz w:val="28"/>
          <w:szCs w:val="28"/>
          <w:shd w:val="clear" w:color="auto" w:fill="FFFFFF"/>
        </w:rPr>
        <w:t xml:space="preserve"> д</w:t>
      </w:r>
      <w:r w:rsidR="00245FBC">
        <w:rPr>
          <w:rFonts w:ascii="Times New Roman" w:hAnsi="Times New Roman" w:cs="Times New Roman"/>
          <w:sz w:val="28"/>
          <w:szCs w:val="28"/>
          <w:shd w:val="clear" w:color="auto" w:fill="FFFFFF"/>
        </w:rPr>
        <w:t>оходу в період обігу облігацій.</w:t>
      </w:r>
    </w:p>
    <w:p w:rsidR="00245FBC" w:rsidRPr="00245FBC" w:rsidRDefault="00464124" w:rsidP="001706A1">
      <w:pPr>
        <w:pStyle w:val="a6"/>
        <w:numPr>
          <w:ilvl w:val="0"/>
          <w:numId w:val="26"/>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1706A1">
        <w:rPr>
          <w:rFonts w:ascii="Times New Roman" w:hAnsi="Times New Roman" w:cs="Times New Roman"/>
          <w:sz w:val="28"/>
          <w:szCs w:val="28"/>
          <w:shd w:val="clear" w:color="auto" w:fill="FFFFFF"/>
        </w:rPr>
        <w:t xml:space="preserve">Дані виплати істотно </w:t>
      </w:r>
      <w:r w:rsidR="00245FBC">
        <w:rPr>
          <w:rFonts w:ascii="Times New Roman" w:hAnsi="Times New Roman" w:cs="Times New Roman"/>
          <w:sz w:val="28"/>
          <w:szCs w:val="28"/>
          <w:shd w:val="clear" w:color="auto" w:fill="FFFFFF"/>
          <w:lang w:val="uk-UA"/>
        </w:rPr>
        <w:t>нижчі</w:t>
      </w:r>
      <w:r w:rsidRPr="001706A1">
        <w:rPr>
          <w:rFonts w:ascii="Times New Roman" w:hAnsi="Times New Roman" w:cs="Times New Roman"/>
          <w:sz w:val="28"/>
          <w:szCs w:val="28"/>
          <w:shd w:val="clear" w:color="auto" w:fill="FFFFFF"/>
        </w:rPr>
        <w:t xml:space="preserve"> розмірів процентних ставок за кредитами. Це пояснюється тим, що доходи, отримані в результаті використання кредитних засобів, оподатковуються, у зв'язку з чим ставка податку закладається у вартість кредиту. Іншими словами, кредит у розмірі, що дорівнює розміру облігаційної позики, обійдеться підприємству значно </w:t>
      </w:r>
      <w:r w:rsidR="00245FBC">
        <w:rPr>
          <w:rFonts w:ascii="Times New Roman" w:hAnsi="Times New Roman" w:cs="Times New Roman"/>
          <w:sz w:val="28"/>
          <w:szCs w:val="28"/>
          <w:shd w:val="clear" w:color="auto" w:fill="FFFFFF"/>
          <w:lang w:val="uk-UA"/>
        </w:rPr>
        <w:t>дорожче</w:t>
      </w:r>
      <w:r w:rsidRPr="001706A1">
        <w:rPr>
          <w:rFonts w:ascii="Times New Roman" w:hAnsi="Times New Roman" w:cs="Times New Roman"/>
          <w:sz w:val="28"/>
          <w:szCs w:val="28"/>
          <w:shd w:val="clear" w:color="auto" w:fill="FFFFFF"/>
        </w:rPr>
        <w:t>. [</w:t>
      </w:r>
      <w:r w:rsidR="00245FBC">
        <w:rPr>
          <w:rFonts w:ascii="Times New Roman" w:hAnsi="Times New Roman" w:cs="Times New Roman"/>
          <w:sz w:val="28"/>
          <w:szCs w:val="28"/>
          <w:shd w:val="clear" w:color="auto" w:fill="FFFFFF"/>
          <w:lang w:val="uk-UA"/>
        </w:rPr>
        <w:t>8</w:t>
      </w:r>
      <w:r w:rsidRPr="001706A1">
        <w:rPr>
          <w:rFonts w:ascii="Times New Roman" w:hAnsi="Times New Roman" w:cs="Times New Roman"/>
          <w:sz w:val="28"/>
          <w:szCs w:val="28"/>
          <w:shd w:val="clear" w:color="auto" w:fill="FFFFFF"/>
        </w:rPr>
        <w:t>].</w:t>
      </w:r>
    </w:p>
    <w:p w:rsidR="006F41A8" w:rsidRPr="006F41A8" w:rsidRDefault="00464124" w:rsidP="001706A1">
      <w:pPr>
        <w:pStyle w:val="a6"/>
        <w:numPr>
          <w:ilvl w:val="0"/>
          <w:numId w:val="26"/>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1706A1">
        <w:rPr>
          <w:rFonts w:ascii="Times New Roman" w:hAnsi="Times New Roman" w:cs="Times New Roman"/>
          <w:sz w:val="28"/>
          <w:szCs w:val="28"/>
          <w:shd w:val="clear" w:color="auto" w:fill="FFFFFF"/>
        </w:rPr>
        <w:t xml:space="preserve"> Невеликий розмір ставки доходу при відсутності супутніх банківських зборів і комісій за обслуговування позики. Ця перевага дозволяє істотно компенсувати накладні витрати емітента, </w:t>
      </w:r>
      <w:r w:rsidR="006F41A8">
        <w:rPr>
          <w:rFonts w:ascii="Times New Roman" w:hAnsi="Times New Roman" w:cs="Times New Roman"/>
          <w:sz w:val="28"/>
          <w:szCs w:val="28"/>
          <w:shd w:val="clear" w:color="auto" w:fill="FFFFFF"/>
        </w:rPr>
        <w:t>пов'язані з випуском облігацій.</w:t>
      </w:r>
    </w:p>
    <w:p w:rsidR="006F41A8" w:rsidRPr="006F41A8" w:rsidRDefault="00464124" w:rsidP="001706A1">
      <w:pPr>
        <w:pStyle w:val="a6"/>
        <w:numPr>
          <w:ilvl w:val="0"/>
          <w:numId w:val="26"/>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1706A1">
        <w:rPr>
          <w:rFonts w:ascii="Times New Roman" w:hAnsi="Times New Roman" w:cs="Times New Roman"/>
          <w:sz w:val="28"/>
          <w:szCs w:val="28"/>
          <w:shd w:val="clear" w:color="auto" w:fill="FFFFFF"/>
        </w:rPr>
        <w:t xml:space="preserve">Необов'язковість відповідність </w:t>
      </w:r>
      <w:r w:rsidR="006F41A8">
        <w:rPr>
          <w:rFonts w:ascii="Times New Roman" w:hAnsi="Times New Roman" w:cs="Times New Roman"/>
          <w:sz w:val="28"/>
          <w:szCs w:val="28"/>
          <w:shd w:val="clear" w:color="auto" w:fill="FFFFFF"/>
          <w:lang w:val="uk-UA"/>
        </w:rPr>
        <w:t>жорстким</w:t>
      </w:r>
      <w:r w:rsidRPr="001706A1">
        <w:rPr>
          <w:rFonts w:ascii="Times New Roman" w:hAnsi="Times New Roman" w:cs="Times New Roman"/>
          <w:sz w:val="28"/>
          <w:szCs w:val="28"/>
          <w:shd w:val="clear" w:color="auto" w:fill="FFFFFF"/>
        </w:rPr>
        <w:t xml:space="preserve"> вимогам, що пред'являються банківськими установами до одержувачів кредитів. Дана обставина істотно полегшує </w:t>
      </w:r>
      <w:r w:rsidR="006F41A8">
        <w:rPr>
          <w:rFonts w:ascii="Times New Roman" w:hAnsi="Times New Roman" w:cs="Times New Roman"/>
          <w:sz w:val="28"/>
          <w:szCs w:val="28"/>
          <w:shd w:val="clear" w:color="auto" w:fill="FFFFFF"/>
          <w:lang w:val="uk-UA"/>
        </w:rPr>
        <w:t>процедуру</w:t>
      </w:r>
      <w:r w:rsidRPr="001706A1">
        <w:rPr>
          <w:rFonts w:ascii="Times New Roman" w:hAnsi="Times New Roman" w:cs="Times New Roman"/>
          <w:sz w:val="28"/>
          <w:szCs w:val="28"/>
          <w:shd w:val="clear" w:color="auto" w:fill="FFFFFF"/>
        </w:rPr>
        <w:t xml:space="preserve"> випуску облігацій. </w:t>
      </w:r>
    </w:p>
    <w:p w:rsidR="00A80EDA" w:rsidRDefault="00464124" w:rsidP="00864AB5">
      <w:pPr>
        <w:tabs>
          <w:tab w:val="left" w:pos="1134"/>
        </w:tabs>
        <w:spacing w:after="0" w:line="360" w:lineRule="auto"/>
        <w:ind w:firstLine="709"/>
        <w:jc w:val="both"/>
        <w:rPr>
          <w:rFonts w:ascii="Times New Roman" w:hAnsi="Times New Roman" w:cs="Times New Roman"/>
          <w:sz w:val="28"/>
          <w:szCs w:val="28"/>
          <w:shd w:val="clear" w:color="auto" w:fill="FFFFFF"/>
          <w:lang w:val="uk-UA"/>
        </w:rPr>
      </w:pPr>
      <w:r w:rsidRPr="006F41A8">
        <w:rPr>
          <w:rFonts w:ascii="Times New Roman" w:hAnsi="Times New Roman" w:cs="Times New Roman"/>
          <w:sz w:val="28"/>
          <w:szCs w:val="28"/>
          <w:shd w:val="clear" w:color="auto" w:fill="FFFFFF"/>
        </w:rPr>
        <w:lastRenderedPageBreak/>
        <w:t>Недолік</w:t>
      </w:r>
      <w:r w:rsidR="006F41A8">
        <w:rPr>
          <w:rFonts w:ascii="Times New Roman" w:hAnsi="Times New Roman" w:cs="Times New Roman"/>
          <w:sz w:val="28"/>
          <w:szCs w:val="28"/>
          <w:shd w:val="clear" w:color="auto" w:fill="FFFFFF"/>
          <w:lang w:val="uk-UA"/>
        </w:rPr>
        <w:t>ів</w:t>
      </w:r>
      <w:r w:rsidRPr="006F41A8">
        <w:rPr>
          <w:rFonts w:ascii="Times New Roman" w:hAnsi="Times New Roman" w:cs="Times New Roman"/>
          <w:sz w:val="28"/>
          <w:szCs w:val="28"/>
          <w:shd w:val="clear" w:color="auto" w:fill="FFFFFF"/>
        </w:rPr>
        <w:t xml:space="preserve"> випуску облігацій для емітента небагато, можна навіть сказати, всього </w:t>
      </w:r>
      <w:r w:rsidR="006F41A8">
        <w:rPr>
          <w:rFonts w:ascii="Times New Roman" w:hAnsi="Times New Roman" w:cs="Times New Roman"/>
          <w:sz w:val="28"/>
          <w:szCs w:val="28"/>
          <w:shd w:val="clear" w:color="auto" w:fill="FFFFFF"/>
          <w:lang w:val="uk-UA"/>
        </w:rPr>
        <w:t>один</w:t>
      </w:r>
      <w:r w:rsidRPr="006F41A8">
        <w:rPr>
          <w:rFonts w:ascii="Times New Roman" w:hAnsi="Times New Roman" w:cs="Times New Roman"/>
          <w:sz w:val="28"/>
          <w:szCs w:val="28"/>
          <w:shd w:val="clear" w:color="auto" w:fill="FFFFFF"/>
        </w:rPr>
        <w:t xml:space="preserve">: труднощі з реалізацією облігацій, що, на жаль, автоматично призводить до затягування строків залучення додаткових коштів. В цьому розрізі отримання кредиту або фінансування інвестицій з інших джерел мають перевагу, оскільки, наприклад, кредитні кошти видаються в повному обсязі </w:t>
      </w:r>
      <w:r w:rsidR="00A80EDA">
        <w:rPr>
          <w:rFonts w:ascii="Times New Roman" w:hAnsi="Times New Roman" w:cs="Times New Roman"/>
          <w:sz w:val="28"/>
          <w:szCs w:val="28"/>
          <w:shd w:val="clear" w:color="auto" w:fill="FFFFFF"/>
          <w:lang w:val="uk-UA"/>
        </w:rPr>
        <w:t>відразу</w:t>
      </w:r>
      <w:r w:rsidRPr="006F41A8">
        <w:rPr>
          <w:rFonts w:ascii="Times New Roman" w:hAnsi="Times New Roman" w:cs="Times New Roman"/>
          <w:sz w:val="28"/>
          <w:szCs w:val="28"/>
          <w:shd w:val="clear" w:color="auto" w:fill="FFFFFF"/>
        </w:rPr>
        <w:t xml:space="preserve">, а не поступово. Інвестиції в облігації можуть бути дуже привабливими для інвестора. В інвестиційних портфелях переважної більшості інвесторів завжди є місце для облігацій — і це </w:t>
      </w:r>
      <w:r w:rsidR="00A80EDA">
        <w:rPr>
          <w:rFonts w:ascii="Times New Roman" w:hAnsi="Times New Roman" w:cs="Times New Roman"/>
          <w:sz w:val="28"/>
          <w:szCs w:val="28"/>
          <w:shd w:val="clear" w:color="auto" w:fill="FFFFFF"/>
        </w:rPr>
        <w:t>неспроста</w:t>
      </w:r>
      <w:r w:rsidR="00A80EDA">
        <w:rPr>
          <w:rFonts w:ascii="Times New Roman" w:hAnsi="Times New Roman" w:cs="Times New Roman"/>
          <w:sz w:val="28"/>
          <w:szCs w:val="28"/>
          <w:shd w:val="clear" w:color="auto" w:fill="FFFFFF"/>
          <w:lang w:val="uk-UA"/>
        </w:rPr>
        <w:t>, адже в</w:t>
      </w:r>
      <w:r w:rsidRPr="006F41A8">
        <w:rPr>
          <w:rFonts w:ascii="Times New Roman" w:hAnsi="Times New Roman" w:cs="Times New Roman"/>
          <w:sz w:val="28"/>
          <w:szCs w:val="28"/>
          <w:shd w:val="clear" w:color="auto" w:fill="FFFFFF"/>
        </w:rPr>
        <w:t xml:space="preserve">ся справа в </w:t>
      </w:r>
      <w:r w:rsidR="00A80EDA">
        <w:rPr>
          <w:rFonts w:ascii="Times New Roman" w:hAnsi="Times New Roman" w:cs="Times New Roman"/>
          <w:sz w:val="28"/>
          <w:szCs w:val="28"/>
          <w:shd w:val="clear" w:color="auto" w:fill="FFFFFF"/>
          <w:lang w:val="uk-UA"/>
        </w:rPr>
        <w:t>незаперечних</w:t>
      </w:r>
      <w:r w:rsidRPr="006F41A8">
        <w:rPr>
          <w:rFonts w:ascii="Times New Roman" w:hAnsi="Times New Roman" w:cs="Times New Roman"/>
          <w:sz w:val="28"/>
          <w:szCs w:val="28"/>
          <w:shd w:val="clear" w:color="auto" w:fill="FFFFFF"/>
        </w:rPr>
        <w:t xml:space="preserve"> перевагах інвестицій в облігації, які сформовано </w:t>
      </w:r>
      <w:r w:rsidR="00A80EDA">
        <w:rPr>
          <w:rFonts w:ascii="Times New Roman" w:hAnsi="Times New Roman" w:cs="Times New Roman"/>
          <w:sz w:val="28"/>
          <w:szCs w:val="28"/>
          <w:shd w:val="clear" w:color="auto" w:fill="FFFFFF"/>
        </w:rPr>
        <w:t>по пунктах:</w:t>
      </w:r>
    </w:p>
    <w:p w:rsidR="00A80EDA" w:rsidRPr="00F3273F" w:rsidRDefault="00464124" w:rsidP="00F3273F">
      <w:pPr>
        <w:pStyle w:val="a6"/>
        <w:numPr>
          <w:ilvl w:val="0"/>
          <w:numId w:val="27"/>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F3273F">
        <w:rPr>
          <w:rFonts w:ascii="Times New Roman" w:hAnsi="Times New Roman" w:cs="Times New Roman"/>
          <w:sz w:val="28"/>
          <w:szCs w:val="28"/>
          <w:shd w:val="clear" w:color="auto" w:fill="FFFFFF"/>
        </w:rPr>
        <w:t xml:space="preserve">Практично повна відсутність будь-якого інвестиційного ризику; </w:t>
      </w:r>
    </w:p>
    <w:p w:rsidR="00A80EDA" w:rsidRPr="00F3273F" w:rsidRDefault="00464124" w:rsidP="00F3273F">
      <w:pPr>
        <w:pStyle w:val="a6"/>
        <w:numPr>
          <w:ilvl w:val="0"/>
          <w:numId w:val="27"/>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F3273F">
        <w:rPr>
          <w:rFonts w:ascii="Times New Roman" w:hAnsi="Times New Roman" w:cs="Times New Roman"/>
          <w:sz w:val="28"/>
          <w:szCs w:val="28"/>
          <w:shd w:val="clear" w:color="auto" w:fill="FFFFFF"/>
          <w:lang w:val="uk-UA"/>
        </w:rPr>
        <w:t>Відсутність оподатк</w:t>
      </w:r>
      <w:r w:rsidR="00A80EDA" w:rsidRPr="00F3273F">
        <w:rPr>
          <w:rFonts w:ascii="Times New Roman" w:hAnsi="Times New Roman" w:cs="Times New Roman"/>
          <w:sz w:val="28"/>
          <w:szCs w:val="28"/>
          <w:shd w:val="clear" w:color="auto" w:fill="FFFFFF"/>
          <w:lang w:val="uk-UA"/>
        </w:rPr>
        <w:t>ування доходів за облігаціями;</w:t>
      </w:r>
    </w:p>
    <w:p w:rsidR="00F3273F" w:rsidRPr="00F3273F" w:rsidRDefault="00464124" w:rsidP="00F3273F">
      <w:pPr>
        <w:pStyle w:val="a6"/>
        <w:numPr>
          <w:ilvl w:val="0"/>
          <w:numId w:val="27"/>
        </w:numPr>
        <w:tabs>
          <w:tab w:val="left" w:pos="1134"/>
        </w:tabs>
        <w:spacing w:after="0" w:line="360" w:lineRule="auto"/>
        <w:ind w:left="0" w:firstLine="709"/>
        <w:jc w:val="both"/>
        <w:rPr>
          <w:rFonts w:ascii="Times New Roman" w:hAnsi="Times New Roman" w:cs="Times New Roman"/>
          <w:sz w:val="28"/>
          <w:szCs w:val="28"/>
          <w:shd w:val="clear" w:color="auto" w:fill="FFFFFF"/>
          <w:lang w:val="uk-UA"/>
        </w:rPr>
      </w:pPr>
      <w:r w:rsidRPr="00F3273F">
        <w:rPr>
          <w:rFonts w:ascii="Times New Roman" w:hAnsi="Times New Roman" w:cs="Times New Roman"/>
          <w:sz w:val="28"/>
          <w:szCs w:val="28"/>
          <w:shd w:val="clear" w:color="auto" w:fill="FFFFFF"/>
          <w:lang w:val="uk-UA"/>
        </w:rPr>
        <w:t xml:space="preserve">Можливість інвестування в цінні папери (облігації), номіновані в </w:t>
      </w:r>
      <w:r w:rsidR="00F3273F" w:rsidRPr="00F3273F">
        <w:rPr>
          <w:rFonts w:ascii="Times New Roman" w:hAnsi="Times New Roman" w:cs="Times New Roman"/>
          <w:sz w:val="28"/>
          <w:szCs w:val="28"/>
          <w:shd w:val="clear" w:color="auto" w:fill="FFFFFF"/>
          <w:lang w:val="uk-UA"/>
        </w:rPr>
        <w:t>іноземній</w:t>
      </w:r>
      <w:r w:rsidRPr="00F3273F">
        <w:rPr>
          <w:rFonts w:ascii="Times New Roman" w:hAnsi="Times New Roman" w:cs="Times New Roman"/>
          <w:sz w:val="28"/>
          <w:szCs w:val="28"/>
          <w:shd w:val="clear" w:color="auto" w:fill="FFFFFF"/>
          <w:lang w:val="uk-UA"/>
        </w:rPr>
        <w:t xml:space="preserve"> валюті, що дозволяє знижувати ризики втрат від зміни валютних курсів. </w:t>
      </w:r>
    </w:p>
    <w:p w:rsidR="00D02151" w:rsidRDefault="00AA59A4" w:rsidP="00EE4FCE">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Таким чином і</w:t>
      </w:r>
      <w:r w:rsidRPr="00AA59A4">
        <w:rPr>
          <w:rFonts w:ascii="Times New Roman" w:hAnsi="Times New Roman" w:cs="Times New Roman"/>
          <w:color w:val="000000"/>
          <w:sz w:val="28"/>
          <w:szCs w:val="28"/>
          <w:shd w:val="clear" w:color="auto" w:fill="FFFFFF"/>
        </w:rPr>
        <w:t>нвестиції в облігації вважаються одним з найбільш надійних видів вкладення грошей з мет</w:t>
      </w:r>
      <w:r>
        <w:rPr>
          <w:rFonts w:ascii="Times New Roman" w:hAnsi="Times New Roman" w:cs="Times New Roman"/>
          <w:color w:val="000000"/>
          <w:sz w:val="28"/>
          <w:szCs w:val="28"/>
          <w:shd w:val="clear" w:color="auto" w:fill="FFFFFF"/>
        </w:rPr>
        <w:t>ою отримання пасивного доходу.</w:t>
      </w:r>
      <w:r w:rsidRPr="00AA59A4">
        <w:rPr>
          <w:rFonts w:ascii="Times New Roman" w:hAnsi="Times New Roman" w:cs="Times New Roman"/>
          <w:color w:val="000000"/>
          <w:sz w:val="28"/>
          <w:szCs w:val="28"/>
          <w:shd w:val="clear" w:color="auto" w:fill="FFFFFF"/>
        </w:rPr>
        <w:t xml:space="preserve"> Цей фінансовий інструмент зазвичай використовується тими інвесторами, яким </w:t>
      </w:r>
      <w:r>
        <w:rPr>
          <w:rFonts w:ascii="Times New Roman" w:hAnsi="Times New Roman" w:cs="Times New Roman"/>
          <w:color w:val="000000"/>
          <w:sz w:val="28"/>
          <w:szCs w:val="28"/>
          <w:shd w:val="clear" w:color="auto" w:fill="FFFFFF"/>
        </w:rPr>
        <w:t>потрібний</w:t>
      </w:r>
      <w:r>
        <w:rPr>
          <w:rFonts w:ascii="Times New Roman" w:hAnsi="Times New Roman" w:cs="Times New Roman"/>
          <w:color w:val="000000"/>
          <w:sz w:val="28"/>
          <w:szCs w:val="28"/>
          <w:shd w:val="clear" w:color="auto" w:fill="FFFFFF"/>
          <w:lang w:val="uk-UA"/>
        </w:rPr>
        <w:t xml:space="preserve"> </w:t>
      </w:r>
      <w:r w:rsidRPr="00AA59A4">
        <w:rPr>
          <w:rFonts w:ascii="Times New Roman" w:hAnsi="Times New Roman" w:cs="Times New Roman"/>
          <w:color w:val="000000"/>
          <w:sz w:val="28"/>
          <w:szCs w:val="28"/>
          <w:shd w:val="clear" w:color="auto" w:fill="FFFFFF"/>
        </w:rPr>
        <w:t>прибуток, порівнянн</w:t>
      </w:r>
      <w:r>
        <w:rPr>
          <w:rFonts w:ascii="Times New Roman" w:hAnsi="Times New Roman" w:cs="Times New Roman"/>
          <w:color w:val="000000"/>
          <w:sz w:val="28"/>
          <w:szCs w:val="28"/>
          <w:shd w:val="clear" w:color="auto" w:fill="FFFFFF"/>
          <w:lang w:val="uk-UA"/>
        </w:rPr>
        <w:t>ий</w:t>
      </w:r>
      <w:r w:rsidRPr="00AA59A4">
        <w:rPr>
          <w:rFonts w:ascii="Times New Roman" w:hAnsi="Times New Roman" w:cs="Times New Roman"/>
          <w:color w:val="000000"/>
          <w:sz w:val="28"/>
          <w:szCs w:val="28"/>
          <w:shd w:val="clear" w:color="auto" w:fill="FFFFFF"/>
        </w:rPr>
        <w:t xml:space="preserve"> із прибутковістю банківських вкладів, і в той же час потрібна гарантія схоронності активів. </w:t>
      </w:r>
    </w:p>
    <w:p w:rsidR="00EE4FCE" w:rsidRDefault="00EE4FCE" w:rsidP="00EC2710">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Розглядаючи питання перспектив інвестування у облігації, обов’язково варто звернути увагу і на ризики. </w:t>
      </w:r>
      <w:r w:rsidR="00EC2710" w:rsidRPr="00EC2710">
        <w:rPr>
          <w:rFonts w:ascii="Times New Roman" w:hAnsi="Times New Roman" w:cs="Times New Roman"/>
          <w:color w:val="000000"/>
          <w:sz w:val="28"/>
          <w:szCs w:val="28"/>
          <w:shd w:val="clear" w:color="auto" w:fill="FFFFFF"/>
          <w:lang w:val="uk-UA"/>
        </w:rPr>
        <w:t xml:space="preserve">Інвестиційна діяльність супроводжується ризиком, причому характерною рисою усіх видів інвестицій є наступне — чим вища дохідність, тим вищий ризик. Ризики облігацій порівняно нижче, ніж ризики інших інструментів фінансових ринків, їх можна зіставити з банківським депозитом (вкладом). </w:t>
      </w:r>
      <w:r w:rsidR="00EC2710" w:rsidRPr="00EC2710">
        <w:rPr>
          <w:rFonts w:ascii="Times New Roman" w:hAnsi="Times New Roman" w:cs="Times New Roman"/>
          <w:color w:val="000000"/>
          <w:sz w:val="28"/>
          <w:szCs w:val="28"/>
          <w:shd w:val="clear" w:color="auto" w:fill="FFFFFF"/>
        </w:rPr>
        <w:t xml:space="preserve">Однак і тут є важливі фактори, які необхідно знати і враховувати при купівлі облігацій. </w:t>
      </w:r>
    </w:p>
    <w:p w:rsidR="00EE4FCE" w:rsidRDefault="00EC2710" w:rsidP="00EC2710">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EC2710">
        <w:rPr>
          <w:rFonts w:ascii="Times New Roman" w:hAnsi="Times New Roman" w:cs="Times New Roman"/>
          <w:color w:val="000000"/>
          <w:sz w:val="28"/>
          <w:szCs w:val="28"/>
          <w:shd w:val="clear" w:color="auto" w:fill="FFFFFF"/>
        </w:rPr>
        <w:t xml:space="preserve">Ризики облігацій можна розділити на: ♦ </w:t>
      </w:r>
    </w:p>
    <w:p w:rsidR="00EE4FCE" w:rsidRDefault="00EC2710" w:rsidP="00EC2710">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EC2710">
        <w:rPr>
          <w:rFonts w:ascii="Times New Roman" w:hAnsi="Times New Roman" w:cs="Times New Roman"/>
          <w:color w:val="000000"/>
          <w:sz w:val="28"/>
          <w:szCs w:val="28"/>
          <w:shd w:val="clear" w:color="auto" w:fill="FFFFFF"/>
        </w:rPr>
        <w:t xml:space="preserve">Процентний ризик </w:t>
      </w:r>
      <w:r w:rsidR="00EE4FCE">
        <w:rPr>
          <w:rFonts w:ascii="Cambria Math" w:hAnsi="Cambria Math" w:cs="Times New Roman"/>
          <w:color w:val="000000"/>
          <w:sz w:val="28"/>
          <w:szCs w:val="28"/>
          <w:shd w:val="clear" w:color="auto" w:fill="FFFFFF"/>
          <w:lang w:val="uk-UA"/>
        </w:rPr>
        <w:t>– т</w:t>
      </w:r>
      <w:r w:rsidRPr="00EC2710">
        <w:rPr>
          <w:rFonts w:ascii="Times New Roman" w:hAnsi="Times New Roman" w:cs="Times New Roman"/>
          <w:color w:val="000000"/>
          <w:sz w:val="28"/>
          <w:szCs w:val="28"/>
          <w:shd w:val="clear" w:color="auto" w:fill="FFFFFF"/>
        </w:rPr>
        <w:t xml:space="preserve">акож називається ринковим ризиком, який є основним ризиком на ринку інструментів з фіксованою прибутковістю. Ціна облігації рухається в напрямку, протилежному руху процентних ставок (купонів). Зростання ставок на ринку супроводжується падінням цін облігацій, і, відповідно, </w:t>
      </w:r>
      <w:r w:rsidRPr="00EC2710">
        <w:rPr>
          <w:rFonts w:ascii="Times New Roman" w:hAnsi="Times New Roman" w:cs="Times New Roman"/>
          <w:color w:val="000000"/>
          <w:sz w:val="28"/>
          <w:szCs w:val="28"/>
          <w:shd w:val="clear" w:color="auto" w:fill="FFFFFF"/>
        </w:rPr>
        <w:lastRenderedPageBreak/>
        <w:t xml:space="preserve">зростання ціни облігації супроводжується падінням процентної ставки. Якщо ви маєте намір продати облігацію раніше дати погашення, то підвищення ставок призведе до фіксації збитку (так як ціна буде низька), а падіння ставок призведе до фіксації прибутку (так як висока ціна). Тобто чим вища ціна — тим нижча дохідність, і чим нижче ціна, тим вище прибутковість. Ціна кожної конкретної облігації залежить як від рухів цін на ринку, так і від її ключових характеристик. </w:t>
      </w:r>
    </w:p>
    <w:p w:rsidR="00EE4FCE" w:rsidRDefault="00EC2710" w:rsidP="00EC2710">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EE4FCE">
        <w:rPr>
          <w:rFonts w:ascii="Times New Roman" w:hAnsi="Times New Roman" w:cs="Times New Roman"/>
          <w:color w:val="000000"/>
          <w:sz w:val="28"/>
          <w:szCs w:val="28"/>
          <w:shd w:val="clear" w:color="auto" w:fill="FFFFFF"/>
          <w:lang w:val="uk-UA"/>
        </w:rPr>
        <w:t xml:space="preserve">Ризик реінвестицій (повторних інвестицій) </w:t>
      </w:r>
      <w:r w:rsidR="00EE4FCE">
        <w:rPr>
          <w:rFonts w:ascii="Cambria Math" w:hAnsi="Cambria Math" w:cs="Times New Roman"/>
          <w:color w:val="000000"/>
          <w:sz w:val="28"/>
          <w:szCs w:val="28"/>
          <w:shd w:val="clear" w:color="auto" w:fill="FFFFFF"/>
          <w:lang w:val="uk-UA"/>
        </w:rPr>
        <w:t>–</w:t>
      </w:r>
      <w:r w:rsidRPr="00EE4FCE">
        <w:rPr>
          <w:rFonts w:ascii="Times New Roman" w:hAnsi="Times New Roman" w:cs="Times New Roman"/>
          <w:color w:val="000000"/>
          <w:sz w:val="28"/>
          <w:szCs w:val="28"/>
          <w:shd w:val="clear" w:color="auto" w:fill="FFFFFF"/>
          <w:lang w:val="uk-UA"/>
        </w:rPr>
        <w:t xml:space="preserve"> </w:t>
      </w:r>
      <w:r w:rsidR="00EE4FCE">
        <w:rPr>
          <w:rFonts w:ascii="Times New Roman" w:hAnsi="Times New Roman" w:cs="Times New Roman"/>
          <w:color w:val="000000"/>
          <w:sz w:val="28"/>
          <w:szCs w:val="28"/>
          <w:shd w:val="clear" w:color="auto" w:fill="FFFFFF"/>
          <w:lang w:val="uk-UA"/>
        </w:rPr>
        <w:t>я</w:t>
      </w:r>
      <w:r w:rsidRPr="00EE4FCE">
        <w:rPr>
          <w:rFonts w:ascii="Times New Roman" w:hAnsi="Times New Roman" w:cs="Times New Roman"/>
          <w:color w:val="000000"/>
          <w:sz w:val="28"/>
          <w:szCs w:val="28"/>
          <w:shd w:val="clear" w:color="auto" w:fill="FFFFFF"/>
          <w:lang w:val="uk-UA"/>
        </w:rPr>
        <w:t>кщо ви купили обліга</w:t>
      </w:r>
      <w:r w:rsidR="00EE4FCE">
        <w:rPr>
          <w:rFonts w:ascii="Times New Roman" w:hAnsi="Times New Roman" w:cs="Times New Roman"/>
          <w:color w:val="000000"/>
          <w:sz w:val="28"/>
          <w:szCs w:val="28"/>
          <w:shd w:val="clear" w:color="auto" w:fill="FFFFFF"/>
          <w:lang w:val="uk-UA"/>
        </w:rPr>
        <w:t xml:space="preserve">ції для одержання щоквартального або </w:t>
      </w:r>
      <w:r w:rsidRPr="00EE4FCE">
        <w:rPr>
          <w:rFonts w:ascii="Times New Roman" w:hAnsi="Times New Roman" w:cs="Times New Roman"/>
          <w:color w:val="000000"/>
          <w:sz w:val="28"/>
          <w:szCs w:val="28"/>
          <w:shd w:val="clear" w:color="auto" w:fill="FFFFFF"/>
          <w:lang w:val="uk-UA"/>
        </w:rPr>
        <w:t>щорічного прибутку, як</w:t>
      </w:r>
      <w:r w:rsidR="00EE4FCE">
        <w:rPr>
          <w:rFonts w:ascii="Times New Roman" w:hAnsi="Times New Roman" w:cs="Times New Roman"/>
          <w:color w:val="000000"/>
          <w:sz w:val="28"/>
          <w:szCs w:val="28"/>
          <w:shd w:val="clear" w:color="auto" w:fill="FFFFFF"/>
          <w:lang w:val="uk-UA"/>
        </w:rPr>
        <w:t xml:space="preserve">ий </w:t>
      </w:r>
      <w:r w:rsidRPr="00EE4FCE">
        <w:rPr>
          <w:rFonts w:ascii="Times New Roman" w:hAnsi="Times New Roman" w:cs="Times New Roman"/>
          <w:color w:val="000000"/>
          <w:sz w:val="28"/>
          <w:szCs w:val="28"/>
          <w:shd w:val="clear" w:color="auto" w:fill="FFFFFF"/>
          <w:lang w:val="uk-UA"/>
        </w:rPr>
        <w:t xml:space="preserve">плануєте виводити з ринку, тоді даний ризик вас не торкнеться. </w:t>
      </w:r>
      <w:r w:rsidRPr="00EC2710">
        <w:rPr>
          <w:rFonts w:ascii="Times New Roman" w:hAnsi="Times New Roman" w:cs="Times New Roman"/>
          <w:color w:val="000000"/>
          <w:sz w:val="28"/>
          <w:szCs w:val="28"/>
          <w:shd w:val="clear" w:color="auto" w:fill="FFFFFF"/>
        </w:rPr>
        <w:t>Реінвестиції — процес інвестицій доходів, отриманих з моменту придбання облігації до її погашення. Ризик полягає в тому, що при зниженні ринкових ставок (зниження прибутковості облігацій) ви зможете вкласти отриманий прибуток за більш низькими ставками. Цей ризик характерний для довгострокових облігацій, від 10 років і більше. Процентний ризик і ризик реінвестицій у принципі врівноважують один одного, однак не варто забувати про те, що заново ви інвестуєте тільки прибуток, як</w:t>
      </w:r>
      <w:r w:rsidR="00EE4FCE">
        <w:rPr>
          <w:rFonts w:ascii="Times New Roman" w:hAnsi="Times New Roman" w:cs="Times New Roman"/>
          <w:color w:val="000000"/>
          <w:sz w:val="28"/>
          <w:szCs w:val="28"/>
          <w:shd w:val="clear" w:color="auto" w:fill="FFFFFF"/>
          <w:lang w:val="uk-UA"/>
        </w:rPr>
        <w:t>ий</w:t>
      </w:r>
      <w:r w:rsidRPr="00EC2710">
        <w:rPr>
          <w:rFonts w:ascii="Times New Roman" w:hAnsi="Times New Roman" w:cs="Times New Roman"/>
          <w:color w:val="000000"/>
          <w:sz w:val="28"/>
          <w:szCs w:val="28"/>
          <w:shd w:val="clear" w:color="auto" w:fill="FFFFFF"/>
        </w:rPr>
        <w:t xml:space="preserve"> буде складати 10</w:t>
      </w:r>
      <w:r w:rsidR="00EE4FCE">
        <w:rPr>
          <w:rFonts w:ascii="Times New Roman" w:hAnsi="Times New Roman" w:cs="Times New Roman"/>
          <w:color w:val="000000"/>
          <w:sz w:val="28"/>
          <w:szCs w:val="28"/>
          <w:shd w:val="clear" w:color="auto" w:fill="FFFFFF"/>
        </w:rPr>
        <w:t>-15% від початкових вкладень.</w:t>
      </w:r>
    </w:p>
    <w:p w:rsidR="00EE4FCE" w:rsidRDefault="00EC2710" w:rsidP="00EC2710">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EE4FCE">
        <w:rPr>
          <w:rFonts w:ascii="Times New Roman" w:hAnsi="Times New Roman" w:cs="Times New Roman"/>
          <w:color w:val="000000"/>
          <w:sz w:val="28"/>
          <w:szCs w:val="28"/>
          <w:shd w:val="clear" w:color="auto" w:fill="FFFFFF"/>
          <w:lang w:val="uk-UA"/>
        </w:rPr>
        <w:t xml:space="preserve">Ризик опціонів </w:t>
      </w:r>
      <w:r w:rsidR="00EE4FCE">
        <w:rPr>
          <w:rFonts w:ascii="Cambria Math" w:hAnsi="Cambria Math" w:cs="Times New Roman"/>
          <w:color w:val="000000"/>
          <w:sz w:val="28"/>
          <w:szCs w:val="28"/>
          <w:shd w:val="clear" w:color="auto" w:fill="FFFFFF"/>
          <w:lang w:val="uk-UA"/>
        </w:rPr>
        <w:t>– у</w:t>
      </w:r>
      <w:r w:rsidRPr="00EE4FCE">
        <w:rPr>
          <w:rFonts w:ascii="Times New Roman" w:hAnsi="Times New Roman" w:cs="Times New Roman"/>
          <w:color w:val="000000"/>
          <w:sz w:val="28"/>
          <w:szCs w:val="28"/>
          <w:shd w:val="clear" w:color="auto" w:fill="FFFFFF"/>
          <w:lang w:val="uk-UA"/>
        </w:rPr>
        <w:t xml:space="preserve"> даному ви</w:t>
      </w:r>
      <w:r w:rsidR="00EE4FCE" w:rsidRPr="00EE4FCE">
        <w:rPr>
          <w:rFonts w:ascii="Times New Roman" w:hAnsi="Times New Roman" w:cs="Times New Roman"/>
          <w:color w:val="000000"/>
          <w:sz w:val="28"/>
          <w:szCs w:val="28"/>
          <w:shd w:val="clear" w:color="auto" w:fill="FFFFFF"/>
          <w:lang w:val="uk-UA"/>
        </w:rPr>
        <w:t xml:space="preserve">падку ми будемо розглядати </w:t>
      </w:r>
      <w:r w:rsidR="00EE4FCE" w:rsidRPr="00EC2710">
        <w:rPr>
          <w:rFonts w:ascii="Times New Roman" w:hAnsi="Times New Roman" w:cs="Times New Roman"/>
          <w:color w:val="000000"/>
          <w:sz w:val="28"/>
          <w:szCs w:val="28"/>
          <w:shd w:val="clear" w:color="auto" w:fill="FFFFFF"/>
        </w:rPr>
        <w:t>call</w:t>
      </w:r>
      <w:r w:rsidR="00EE4FCE" w:rsidRPr="00EE4FCE">
        <w:rPr>
          <w:rFonts w:ascii="Times New Roman" w:hAnsi="Times New Roman" w:cs="Times New Roman"/>
          <w:color w:val="000000"/>
          <w:sz w:val="28"/>
          <w:szCs w:val="28"/>
          <w:shd w:val="clear" w:color="auto" w:fill="FFFFFF"/>
          <w:lang w:val="uk-UA"/>
        </w:rPr>
        <w:t>-</w:t>
      </w:r>
      <w:r w:rsidRPr="00EE4FCE">
        <w:rPr>
          <w:rFonts w:ascii="Times New Roman" w:hAnsi="Times New Roman" w:cs="Times New Roman"/>
          <w:color w:val="000000"/>
          <w:sz w:val="28"/>
          <w:szCs w:val="28"/>
          <w:shd w:val="clear" w:color="auto" w:fill="FFFFFF"/>
          <w:lang w:val="uk-UA"/>
        </w:rPr>
        <w:t xml:space="preserve">опціон, який містить в собі ризик для покупця облігації (інвестора). </w:t>
      </w:r>
      <w:r w:rsidR="00EE4FCE" w:rsidRPr="00EC2710">
        <w:rPr>
          <w:rFonts w:ascii="Times New Roman" w:hAnsi="Times New Roman" w:cs="Times New Roman"/>
          <w:color w:val="000000"/>
          <w:sz w:val="28"/>
          <w:szCs w:val="28"/>
          <w:shd w:val="clear" w:color="auto" w:fill="FFFFFF"/>
        </w:rPr>
        <w:t>call</w:t>
      </w:r>
      <w:r w:rsidR="00EE4FCE" w:rsidRPr="00EE4FCE">
        <w:rPr>
          <w:rFonts w:ascii="Times New Roman" w:hAnsi="Times New Roman" w:cs="Times New Roman"/>
          <w:color w:val="000000"/>
          <w:sz w:val="28"/>
          <w:szCs w:val="28"/>
          <w:shd w:val="clear" w:color="auto" w:fill="FFFFFF"/>
          <w:lang w:val="uk-UA"/>
        </w:rPr>
        <w:t>-</w:t>
      </w:r>
      <w:r w:rsidRPr="00EE4FCE">
        <w:rPr>
          <w:rFonts w:ascii="Times New Roman" w:hAnsi="Times New Roman" w:cs="Times New Roman"/>
          <w:color w:val="000000"/>
          <w:sz w:val="28"/>
          <w:szCs w:val="28"/>
          <w:shd w:val="clear" w:color="auto" w:fill="FFFFFF"/>
          <w:lang w:val="uk-UA"/>
        </w:rPr>
        <w:t xml:space="preserve">опціон дає право компанії, що випустила облігації, погасити весь випуск до закінчення терміну дії облігації. </w:t>
      </w:r>
      <w:r w:rsidRPr="003658F7">
        <w:rPr>
          <w:rFonts w:ascii="Times New Roman" w:hAnsi="Times New Roman" w:cs="Times New Roman"/>
          <w:color w:val="000000"/>
          <w:sz w:val="28"/>
          <w:szCs w:val="28"/>
          <w:shd w:val="clear" w:color="auto" w:fill="FFFFFF"/>
          <w:lang w:val="uk-UA"/>
        </w:rPr>
        <w:t xml:space="preserve">З точки зору інвестора, тримати таку облігацію невигідно, так як можливий відгук (погашення) облігацій при зростанні її ціни і зниження процентних ставок: при високій ціні ваша облігація буде відкликана за номінальною вартістю </w:t>
      </w:r>
      <w:r w:rsidRPr="00EC2710">
        <w:rPr>
          <w:rFonts w:ascii="Times New Roman" w:hAnsi="Times New Roman" w:cs="Times New Roman"/>
          <w:color w:val="000000"/>
          <w:sz w:val="28"/>
          <w:szCs w:val="28"/>
          <w:shd w:val="clear" w:color="auto" w:fill="FFFFFF"/>
        </w:rPr>
        <w:t>(поточна ціна 1200</w:t>
      </w:r>
      <w:r w:rsidR="00EE4FCE">
        <w:rPr>
          <w:rFonts w:ascii="Times New Roman" w:hAnsi="Times New Roman" w:cs="Times New Roman"/>
          <w:color w:val="000000"/>
          <w:sz w:val="28"/>
          <w:szCs w:val="28"/>
          <w:shd w:val="clear" w:color="auto" w:fill="FFFFFF"/>
          <w:lang w:val="uk-UA"/>
        </w:rPr>
        <w:t>г</w:t>
      </w:r>
      <w:r w:rsidRPr="00EC2710">
        <w:rPr>
          <w:rFonts w:ascii="Times New Roman" w:hAnsi="Times New Roman" w:cs="Times New Roman"/>
          <w:color w:val="000000"/>
          <w:sz w:val="28"/>
          <w:szCs w:val="28"/>
          <w:shd w:val="clear" w:color="auto" w:fill="FFFFFF"/>
        </w:rPr>
        <w:t>р, викуплять за 1000</w:t>
      </w:r>
      <w:r w:rsidR="00EE4FCE">
        <w:rPr>
          <w:rFonts w:ascii="Times New Roman" w:hAnsi="Times New Roman" w:cs="Times New Roman"/>
          <w:color w:val="000000"/>
          <w:sz w:val="28"/>
          <w:szCs w:val="28"/>
          <w:shd w:val="clear" w:color="auto" w:fill="FFFFFF"/>
          <w:lang w:val="uk-UA"/>
        </w:rPr>
        <w:t>г</w:t>
      </w:r>
      <w:r w:rsidRPr="00EC2710">
        <w:rPr>
          <w:rFonts w:ascii="Times New Roman" w:hAnsi="Times New Roman" w:cs="Times New Roman"/>
          <w:color w:val="000000"/>
          <w:sz w:val="28"/>
          <w:szCs w:val="28"/>
          <w:shd w:val="clear" w:color="auto" w:fill="FFFFFF"/>
        </w:rPr>
        <w:t>р, тобто за номіналом). Тут же виникає і ризик реінвестицій, тобто повторного вкладення тимчасово вільного капіталу, яке доведеться робити вже при низьких ринкових став</w:t>
      </w:r>
      <w:r w:rsidR="00EE4FCE">
        <w:rPr>
          <w:rFonts w:ascii="Times New Roman" w:hAnsi="Times New Roman" w:cs="Times New Roman"/>
          <w:color w:val="000000"/>
          <w:sz w:val="28"/>
          <w:szCs w:val="28"/>
          <w:shd w:val="clear" w:color="auto" w:fill="FFFFFF"/>
          <w:lang w:val="uk-UA"/>
        </w:rPr>
        <w:t>ках</w:t>
      </w:r>
      <w:r w:rsidRPr="00EC2710">
        <w:rPr>
          <w:rFonts w:ascii="Times New Roman" w:hAnsi="Times New Roman" w:cs="Times New Roman"/>
          <w:color w:val="000000"/>
          <w:sz w:val="28"/>
          <w:szCs w:val="28"/>
          <w:shd w:val="clear" w:color="auto" w:fill="FFFFFF"/>
        </w:rPr>
        <w:t xml:space="preserve"> і високих цінах. І ще важливим є те, що ціна облігації з call-опціоном рідко піднімається вище номінальної вартості, що не дає можливості істотного приросту капіталу. Проте недоліки облігації з call-опціоном часто компенсуються більш низькою ринковою ціною (у порівнянні з іншими облігаціями) або біль</w:t>
      </w:r>
      <w:r w:rsidR="00EE4FCE">
        <w:rPr>
          <w:rFonts w:ascii="Times New Roman" w:hAnsi="Times New Roman" w:cs="Times New Roman"/>
          <w:color w:val="000000"/>
          <w:sz w:val="28"/>
          <w:szCs w:val="28"/>
          <w:shd w:val="clear" w:color="auto" w:fill="FFFFFF"/>
        </w:rPr>
        <w:t>ш високою процентною ставкою.</w:t>
      </w:r>
    </w:p>
    <w:p w:rsidR="00EE4FCE" w:rsidRDefault="00EC2710" w:rsidP="00EC2710">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EE4FCE">
        <w:rPr>
          <w:rFonts w:ascii="Times New Roman" w:hAnsi="Times New Roman" w:cs="Times New Roman"/>
          <w:color w:val="000000"/>
          <w:sz w:val="28"/>
          <w:szCs w:val="28"/>
          <w:shd w:val="clear" w:color="auto" w:fill="FFFFFF"/>
          <w:lang w:val="uk-UA"/>
        </w:rPr>
        <w:lastRenderedPageBreak/>
        <w:t xml:space="preserve">Кредитний ризик являє собою ризик невиконання емітентом своїх зобов'язань, тобто невиплати відсотків по облігації і невиплати основного боргу, тобто банкрутство компанії. </w:t>
      </w:r>
      <w:r w:rsidRPr="003658F7">
        <w:rPr>
          <w:rFonts w:ascii="Times New Roman" w:hAnsi="Times New Roman" w:cs="Times New Roman"/>
          <w:color w:val="000000"/>
          <w:sz w:val="28"/>
          <w:szCs w:val="28"/>
          <w:shd w:val="clear" w:color="auto" w:fill="FFFFFF"/>
          <w:lang w:val="uk-UA"/>
        </w:rPr>
        <w:t xml:space="preserve">Варто відразу відзначити, що ризик банкрутства і втрати власних коштів можна істотно знизити, відстежуючи кредитний рейтинг компанії-емітента. </w:t>
      </w:r>
      <w:r w:rsidRPr="00EC2710">
        <w:rPr>
          <w:rFonts w:ascii="Times New Roman" w:hAnsi="Times New Roman" w:cs="Times New Roman"/>
          <w:color w:val="000000"/>
          <w:sz w:val="28"/>
          <w:szCs w:val="28"/>
          <w:shd w:val="clear" w:color="auto" w:fill="FFFFFF"/>
        </w:rPr>
        <w:t>Даний рейтинг встановлюється рейтинговими агентствами на підставі кредитних показників компанії-емітента. При підвищенні цих показників підвищується і кредитний рейтинг, і навпаки. Чим нижче рейтинг емітента, тим вище ймовірність банкрутства і втрати вкладених коштів. Відповідно потрібно постійно відслідковувати рейтинги облігацій і своєчасн</w:t>
      </w:r>
      <w:r w:rsidR="00EE4FCE">
        <w:rPr>
          <w:rFonts w:ascii="Times New Roman" w:hAnsi="Times New Roman" w:cs="Times New Roman"/>
          <w:color w:val="000000"/>
          <w:sz w:val="28"/>
          <w:szCs w:val="28"/>
          <w:shd w:val="clear" w:color="auto" w:fill="FFFFFF"/>
        </w:rPr>
        <w:t>о реагувати на його зниження.</w:t>
      </w:r>
    </w:p>
    <w:p w:rsidR="00EE4FCE" w:rsidRDefault="00EC2710" w:rsidP="00EC2710">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EE4FCE">
        <w:rPr>
          <w:rFonts w:ascii="Times New Roman" w:hAnsi="Times New Roman" w:cs="Times New Roman"/>
          <w:color w:val="000000"/>
          <w:sz w:val="28"/>
          <w:szCs w:val="28"/>
          <w:shd w:val="clear" w:color="auto" w:fill="FFFFFF"/>
          <w:lang w:val="uk-UA"/>
        </w:rPr>
        <w:t xml:space="preserve">Ризик інфляції </w:t>
      </w:r>
      <w:r w:rsidR="00EE4FCE">
        <w:rPr>
          <w:rFonts w:ascii="Cambria Math" w:hAnsi="Cambria Math" w:cs="Times New Roman"/>
          <w:color w:val="000000"/>
          <w:sz w:val="28"/>
          <w:szCs w:val="28"/>
          <w:shd w:val="clear" w:color="auto" w:fill="FFFFFF"/>
          <w:lang w:val="uk-UA"/>
        </w:rPr>
        <w:t xml:space="preserve">– </w:t>
      </w:r>
      <w:r w:rsidR="00EE4FCE">
        <w:rPr>
          <w:rFonts w:ascii="Times New Roman" w:hAnsi="Times New Roman" w:cs="Times New Roman"/>
          <w:color w:val="000000"/>
          <w:sz w:val="28"/>
          <w:szCs w:val="28"/>
          <w:shd w:val="clear" w:color="auto" w:fill="FFFFFF"/>
          <w:lang w:val="uk-UA"/>
        </w:rPr>
        <w:t>ф</w:t>
      </w:r>
      <w:r w:rsidRPr="00EE4FCE">
        <w:rPr>
          <w:rFonts w:ascii="Times New Roman" w:hAnsi="Times New Roman" w:cs="Times New Roman"/>
          <w:color w:val="000000"/>
          <w:sz w:val="28"/>
          <w:szCs w:val="28"/>
          <w:shd w:val="clear" w:color="auto" w:fill="FFFFFF"/>
          <w:lang w:val="uk-UA"/>
        </w:rPr>
        <w:t xml:space="preserve">інансові активи з плином часу втрачають в ціні — це властивість економіки. </w:t>
      </w:r>
      <w:r w:rsidRPr="003658F7">
        <w:rPr>
          <w:rFonts w:ascii="Times New Roman" w:hAnsi="Times New Roman" w:cs="Times New Roman"/>
          <w:color w:val="000000"/>
          <w:sz w:val="28"/>
          <w:szCs w:val="28"/>
          <w:shd w:val="clear" w:color="auto" w:fill="FFFFFF"/>
          <w:lang w:val="uk-UA"/>
        </w:rPr>
        <w:t xml:space="preserve">Втрачають у ціні банківські вклади, інвестиції в нерухомість, інвестиції в цінні папери та інші активи. Ризику можна уникнути, інвестуючи в облігації з більш високою прибутковістю, ніж інфляція. </w:t>
      </w:r>
      <w:r w:rsidRPr="00EC2710">
        <w:rPr>
          <w:rFonts w:ascii="Times New Roman" w:hAnsi="Times New Roman" w:cs="Times New Roman"/>
          <w:color w:val="000000"/>
          <w:sz w:val="28"/>
          <w:szCs w:val="28"/>
          <w:shd w:val="clear" w:color="auto" w:fill="FFFFFF"/>
        </w:rPr>
        <w:t>При інфляції  5% в рік потрібно інвестувати кошти з прибутковістю більше 5%. Темпи інфляції публікуються в офіційних виданнях статистичними агентствами, тому відслідковувати і контро</w:t>
      </w:r>
      <w:r w:rsidR="00EE4FCE">
        <w:rPr>
          <w:rFonts w:ascii="Times New Roman" w:hAnsi="Times New Roman" w:cs="Times New Roman"/>
          <w:color w:val="000000"/>
          <w:sz w:val="28"/>
          <w:szCs w:val="28"/>
          <w:shd w:val="clear" w:color="auto" w:fill="FFFFFF"/>
        </w:rPr>
        <w:t>лювати цей ризик — нескладно.</w:t>
      </w:r>
    </w:p>
    <w:p w:rsidR="00EE4FCE" w:rsidRDefault="00EC2710" w:rsidP="00EC2710">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EE4FCE">
        <w:rPr>
          <w:rFonts w:ascii="Times New Roman" w:hAnsi="Times New Roman" w:cs="Times New Roman"/>
          <w:color w:val="000000"/>
          <w:sz w:val="28"/>
          <w:szCs w:val="28"/>
          <w:shd w:val="clear" w:color="auto" w:fill="FFFFFF"/>
          <w:lang w:val="uk-UA"/>
        </w:rPr>
        <w:t xml:space="preserve">Ризик ліквідності </w:t>
      </w:r>
      <w:r w:rsidR="00EE4FCE">
        <w:rPr>
          <w:rFonts w:ascii="Cambria Math" w:hAnsi="Cambria Math" w:cs="Times New Roman"/>
          <w:color w:val="000000"/>
          <w:sz w:val="28"/>
          <w:szCs w:val="28"/>
          <w:shd w:val="clear" w:color="auto" w:fill="FFFFFF"/>
          <w:lang w:val="uk-UA"/>
        </w:rPr>
        <w:t>– л</w:t>
      </w:r>
      <w:r w:rsidRPr="00EE4FCE">
        <w:rPr>
          <w:rFonts w:ascii="Times New Roman" w:hAnsi="Times New Roman" w:cs="Times New Roman"/>
          <w:color w:val="000000"/>
          <w:sz w:val="28"/>
          <w:szCs w:val="28"/>
          <w:shd w:val="clear" w:color="auto" w:fill="FFFFFF"/>
          <w:lang w:val="uk-UA"/>
        </w:rPr>
        <w:t xml:space="preserve">іквідність — можливість продати облігації (або інші фінансові активи) за справедливою ринковою ціною в будь-який момент часу. </w:t>
      </w:r>
      <w:r w:rsidRPr="00EC2710">
        <w:rPr>
          <w:rFonts w:ascii="Times New Roman" w:hAnsi="Times New Roman" w:cs="Times New Roman"/>
          <w:color w:val="000000"/>
          <w:sz w:val="28"/>
          <w:szCs w:val="28"/>
          <w:shd w:val="clear" w:color="auto" w:fill="FFFFFF"/>
        </w:rPr>
        <w:t>Можна сказати, що</w:t>
      </w:r>
      <w:r w:rsidR="00EE4FCE">
        <w:rPr>
          <w:rFonts w:ascii="Times New Roman" w:hAnsi="Times New Roman" w:cs="Times New Roman"/>
          <w:color w:val="000000"/>
          <w:sz w:val="28"/>
          <w:szCs w:val="28"/>
          <w:shd w:val="clear" w:color="auto" w:fill="FFFFFF"/>
          <w:lang w:val="uk-UA"/>
        </w:rPr>
        <w:t xml:space="preserve"> український</w:t>
      </w:r>
      <w:r w:rsidRPr="00EC2710">
        <w:rPr>
          <w:rFonts w:ascii="Times New Roman" w:hAnsi="Times New Roman" w:cs="Times New Roman"/>
          <w:color w:val="000000"/>
          <w:sz w:val="28"/>
          <w:szCs w:val="28"/>
          <w:shd w:val="clear" w:color="auto" w:fill="FFFFFF"/>
        </w:rPr>
        <w:t xml:space="preserve"> ринок облігацій достатньо ліквідний, а такий ризик може виникнути тільки на облігаціях маловідомих компаній з</w:t>
      </w:r>
      <w:r w:rsidR="00EE4FCE">
        <w:rPr>
          <w:rFonts w:ascii="Times New Roman" w:hAnsi="Times New Roman" w:cs="Times New Roman"/>
          <w:color w:val="000000"/>
          <w:sz w:val="28"/>
          <w:szCs w:val="28"/>
          <w:shd w:val="clear" w:color="auto" w:fill="FFFFFF"/>
        </w:rPr>
        <w:t xml:space="preserve"> низьким кредитним рейтингом. </w:t>
      </w:r>
    </w:p>
    <w:p w:rsidR="00EC2710" w:rsidRPr="00EC2710" w:rsidRDefault="00EC2710" w:rsidP="00EC2710">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EE4FCE">
        <w:rPr>
          <w:rFonts w:ascii="Times New Roman" w:hAnsi="Times New Roman" w:cs="Times New Roman"/>
          <w:color w:val="000000"/>
          <w:sz w:val="28"/>
          <w:szCs w:val="28"/>
          <w:shd w:val="clear" w:color="auto" w:fill="FFFFFF"/>
          <w:lang w:val="uk-UA"/>
        </w:rPr>
        <w:t xml:space="preserve">Валютний ризик </w:t>
      </w:r>
      <w:r w:rsidR="00EE4FCE">
        <w:rPr>
          <w:rFonts w:ascii="Cambria Math" w:hAnsi="Cambria Math" w:cs="Times New Roman"/>
          <w:color w:val="000000"/>
          <w:sz w:val="28"/>
          <w:szCs w:val="28"/>
          <w:shd w:val="clear" w:color="auto" w:fill="FFFFFF"/>
          <w:lang w:val="uk-UA"/>
        </w:rPr>
        <w:t>– д</w:t>
      </w:r>
      <w:r w:rsidRPr="00EE4FCE">
        <w:rPr>
          <w:rFonts w:ascii="Times New Roman" w:hAnsi="Times New Roman" w:cs="Times New Roman"/>
          <w:color w:val="000000"/>
          <w:sz w:val="28"/>
          <w:szCs w:val="28"/>
          <w:shd w:val="clear" w:color="auto" w:fill="FFFFFF"/>
          <w:lang w:val="uk-UA"/>
        </w:rPr>
        <w:t xml:space="preserve">аний ризик виникає якщо ви купили облігації, випущені нерезидентами </w:t>
      </w:r>
      <w:r w:rsidR="00EE4FCE">
        <w:rPr>
          <w:rFonts w:ascii="Times New Roman" w:hAnsi="Times New Roman" w:cs="Times New Roman"/>
          <w:color w:val="000000"/>
          <w:sz w:val="28"/>
          <w:szCs w:val="28"/>
          <w:shd w:val="clear" w:color="auto" w:fill="FFFFFF"/>
          <w:lang w:val="uk-UA"/>
        </w:rPr>
        <w:t>держави</w:t>
      </w:r>
      <w:r w:rsidRPr="00EE4FCE">
        <w:rPr>
          <w:rFonts w:ascii="Times New Roman" w:hAnsi="Times New Roman" w:cs="Times New Roman"/>
          <w:color w:val="000000"/>
          <w:sz w:val="28"/>
          <w:szCs w:val="28"/>
          <w:shd w:val="clear" w:color="auto" w:fill="FFFFFF"/>
          <w:lang w:val="uk-UA"/>
        </w:rPr>
        <w:t xml:space="preserve"> і торгуються за іноземну валюту. При зростанні і падінні ціни іноземної валюти облігації також будуть зростати і втрачати в ціні. </w:t>
      </w:r>
      <w:r w:rsidRPr="00EC2710">
        <w:rPr>
          <w:rFonts w:ascii="Times New Roman" w:hAnsi="Times New Roman" w:cs="Times New Roman"/>
          <w:color w:val="000000"/>
          <w:sz w:val="28"/>
          <w:szCs w:val="28"/>
          <w:shd w:val="clear" w:color="auto" w:fill="FFFFFF"/>
        </w:rPr>
        <w:t xml:space="preserve">Також при зростанні курсу іноземної валюти виникає ризик зниження купівельної спроможності </w:t>
      </w:r>
      <w:r w:rsidR="00EE4FCE">
        <w:rPr>
          <w:rFonts w:ascii="Times New Roman" w:hAnsi="Times New Roman" w:cs="Times New Roman"/>
          <w:color w:val="000000"/>
          <w:sz w:val="28"/>
          <w:szCs w:val="28"/>
          <w:shd w:val="clear" w:color="auto" w:fill="FFFFFF"/>
          <w:lang w:val="uk-UA"/>
        </w:rPr>
        <w:t>гривні</w:t>
      </w:r>
      <w:r w:rsidRPr="00EC2710">
        <w:rPr>
          <w:rFonts w:ascii="Times New Roman" w:hAnsi="Times New Roman" w:cs="Times New Roman"/>
          <w:color w:val="000000"/>
          <w:sz w:val="28"/>
          <w:szCs w:val="28"/>
          <w:shd w:val="clear" w:color="auto" w:fill="FFFFFF"/>
        </w:rPr>
        <w:t>, що також негативно позначиться на інвестиційному процесі. Варто відзначити, що ризиків облігацій в принципі досить багато, але більшість з них можна спрогнозувати і уникнути.</w:t>
      </w:r>
    </w:p>
    <w:p w:rsidR="00EE4FCE" w:rsidRDefault="00EE4FCE" w:rsidP="00EE4FCE">
      <w:pPr>
        <w:spacing w:after="0" w:line="360" w:lineRule="auto"/>
        <w:contextualSpacing/>
        <w:rPr>
          <w:rFonts w:ascii="Times New Roman" w:hAnsi="Times New Roman" w:cs="Times New Roman"/>
          <w:b/>
          <w:sz w:val="28"/>
          <w:szCs w:val="28"/>
          <w:lang w:val="uk-UA"/>
        </w:rPr>
      </w:pPr>
    </w:p>
    <w:p w:rsidR="003737B5" w:rsidRDefault="003737B5" w:rsidP="00525653">
      <w:pPr>
        <w:spacing w:after="0" w:line="360" w:lineRule="auto"/>
        <w:ind w:firstLine="709"/>
        <w:contextualSpacing/>
        <w:jc w:val="center"/>
        <w:rPr>
          <w:rFonts w:ascii="Times New Roman" w:hAnsi="Times New Roman" w:cs="Times New Roman"/>
          <w:b/>
          <w:sz w:val="28"/>
          <w:szCs w:val="28"/>
          <w:lang w:val="uk-UA"/>
        </w:rPr>
      </w:pPr>
      <w:r w:rsidRPr="00F14024">
        <w:rPr>
          <w:rFonts w:ascii="Times New Roman" w:hAnsi="Times New Roman" w:cs="Times New Roman"/>
          <w:b/>
          <w:sz w:val="28"/>
          <w:szCs w:val="28"/>
          <w:lang w:val="uk-UA"/>
        </w:rPr>
        <w:lastRenderedPageBreak/>
        <w:t>Висновки</w:t>
      </w:r>
    </w:p>
    <w:p w:rsidR="00EE4FCE" w:rsidRDefault="00EE4FCE" w:rsidP="00525653">
      <w:pPr>
        <w:spacing w:after="0" w:line="360" w:lineRule="auto"/>
        <w:ind w:firstLine="709"/>
        <w:contextualSpacing/>
        <w:jc w:val="center"/>
        <w:rPr>
          <w:rFonts w:ascii="Times New Roman" w:hAnsi="Times New Roman" w:cs="Times New Roman"/>
          <w:b/>
          <w:sz w:val="28"/>
          <w:szCs w:val="28"/>
          <w:lang w:val="uk-UA"/>
        </w:rPr>
      </w:pPr>
    </w:p>
    <w:p w:rsidR="00372496" w:rsidRPr="00135DDA" w:rsidRDefault="00372496" w:rsidP="00372496">
      <w:pPr>
        <w:spacing w:after="0" w:line="360" w:lineRule="auto"/>
        <w:ind w:firstLine="709"/>
        <w:contextualSpacing/>
        <w:jc w:val="both"/>
        <w:rPr>
          <w:rFonts w:ascii="Times New Roman" w:eastAsia="Times New Roman" w:hAnsi="Times New Roman" w:cs="Times New Roman"/>
          <w:color w:val="000000"/>
          <w:sz w:val="28"/>
          <w:szCs w:val="28"/>
          <w:lang w:val="uk-UA"/>
        </w:rPr>
      </w:pPr>
      <w:r w:rsidRPr="00372496">
        <w:rPr>
          <w:rFonts w:ascii="Times New Roman" w:eastAsia="Times New Roman" w:hAnsi="Times New Roman" w:cs="Times New Roman"/>
          <w:color w:val="000000"/>
          <w:sz w:val="28"/>
          <w:szCs w:val="28"/>
          <w:lang w:val="uk-UA"/>
        </w:rPr>
        <w:t xml:space="preserve">Метою даної курсової роботи було вивчення ринку облігацій, його функціонування всебічний огляд фінансового інвестування в Україні та світі на прикладі таких цінних паперів як облігації. По-перше, будло розкрито поняття облігації, їх сутність, види, теоретичні основи формування та управління портфелем облігацій. По-друге, було проведено аналіз використання облігацій у світовій практиці та застосування їх в Україні та проблеми, які виникають при цьому, а також представлені перспективи від застосування інвестицій у вітчизняні </w:t>
      </w:r>
      <w:r w:rsidRPr="00135DDA">
        <w:rPr>
          <w:rFonts w:ascii="Times New Roman" w:eastAsia="Times New Roman" w:hAnsi="Times New Roman" w:cs="Times New Roman"/>
          <w:color w:val="000000"/>
          <w:sz w:val="28"/>
          <w:szCs w:val="28"/>
          <w:lang w:val="uk-UA"/>
        </w:rPr>
        <w:t>облігації. Була виявлена сутність облігацій, а також були вивчені їх різновиди.</w:t>
      </w:r>
    </w:p>
    <w:p w:rsidR="00135DDA" w:rsidRDefault="00135DDA" w:rsidP="0020666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rPr>
      </w:pPr>
      <w:r w:rsidRPr="00135DDA">
        <w:rPr>
          <w:rFonts w:ascii="Times New Roman" w:eastAsia="Times New Roman" w:hAnsi="Times New Roman" w:cs="Times New Roman"/>
          <w:color w:val="000000"/>
          <w:sz w:val="28"/>
          <w:szCs w:val="28"/>
        </w:rPr>
        <w:t>Облігація</w:t>
      </w:r>
      <w:r>
        <w:rPr>
          <w:rFonts w:ascii="Times New Roman" w:eastAsia="Times New Roman" w:hAnsi="Times New Roman" w:cs="Times New Roman"/>
          <w:color w:val="000000"/>
          <w:sz w:val="28"/>
          <w:szCs w:val="28"/>
          <w:lang w:val="uk-UA"/>
        </w:rPr>
        <w:t xml:space="preserve"> –</w:t>
      </w:r>
      <w:r w:rsidRPr="00135DDA">
        <w:rPr>
          <w:rFonts w:ascii="Times New Roman" w:eastAsia="Times New Roman" w:hAnsi="Times New Roman" w:cs="Times New Roman"/>
          <w:color w:val="000000"/>
          <w:sz w:val="28"/>
          <w:szCs w:val="28"/>
        </w:rPr>
        <w:t xml:space="preserve"> це борговий цінний папір, по суті боргова розписка, яка продається за своєю номінальною вартістю на певний строк з правом отримання процентного доходу (купона) або вона продається з дисконтом (за меншу ціну від номінальної вартості), а по закінченні строку, викуповується (погашається) за номіналом.</w:t>
      </w:r>
      <w:r w:rsidR="00206661">
        <w:rPr>
          <w:rFonts w:ascii="Times New Roman" w:eastAsia="Times New Roman" w:hAnsi="Times New Roman" w:cs="Times New Roman"/>
          <w:color w:val="000000"/>
          <w:sz w:val="28"/>
          <w:szCs w:val="28"/>
          <w:lang w:val="uk-UA"/>
        </w:rPr>
        <w:t xml:space="preserve"> </w:t>
      </w:r>
      <w:r w:rsidRPr="00206661">
        <w:rPr>
          <w:rFonts w:ascii="Times New Roman" w:eastAsia="Times New Roman" w:hAnsi="Times New Roman" w:cs="Times New Roman"/>
          <w:color w:val="000000"/>
          <w:sz w:val="28"/>
          <w:szCs w:val="28"/>
          <w:lang w:val="uk-UA"/>
        </w:rPr>
        <w:t>Можна також сказати, що облігація це корпоратив</w:t>
      </w:r>
      <w:r w:rsidR="00206661">
        <w:rPr>
          <w:rFonts w:ascii="Times New Roman" w:eastAsia="Times New Roman" w:hAnsi="Times New Roman" w:cs="Times New Roman"/>
          <w:color w:val="000000"/>
          <w:sz w:val="28"/>
          <w:szCs w:val="28"/>
          <w:lang w:val="uk-UA"/>
        </w:rPr>
        <w:t>ний</w:t>
      </w:r>
      <w:r w:rsidRPr="00206661">
        <w:rPr>
          <w:rFonts w:ascii="Times New Roman" w:eastAsia="Times New Roman" w:hAnsi="Times New Roman" w:cs="Times New Roman"/>
          <w:color w:val="000000"/>
          <w:sz w:val="28"/>
          <w:szCs w:val="28"/>
          <w:lang w:val="uk-UA"/>
        </w:rPr>
        <w:t xml:space="preserve"> цінний папір, її сенс в тому що коли бізнесу необхідні інвестиції, то кредит в банку невигідний за високого відсотка.</w:t>
      </w:r>
      <w:r w:rsidR="00206661">
        <w:rPr>
          <w:rFonts w:ascii="Times New Roman" w:eastAsia="Times New Roman" w:hAnsi="Times New Roman" w:cs="Times New Roman"/>
          <w:color w:val="000000"/>
          <w:sz w:val="28"/>
          <w:szCs w:val="28"/>
          <w:lang w:val="uk-UA"/>
        </w:rPr>
        <w:t xml:space="preserve"> </w:t>
      </w:r>
      <w:r w:rsidRPr="00206661">
        <w:rPr>
          <w:rFonts w:ascii="Times New Roman" w:eastAsia="Times New Roman" w:hAnsi="Times New Roman" w:cs="Times New Roman"/>
          <w:color w:val="000000"/>
          <w:sz w:val="28"/>
          <w:szCs w:val="28"/>
          <w:lang w:val="uk-UA"/>
        </w:rPr>
        <w:t>У цьому випадку зручним способом залучити кошти, є випуск серії облігацій, на потрібну суму, відсоток по них нижче ніж по кредиту і залучені кошти набагато дешевше.</w:t>
      </w:r>
    </w:p>
    <w:p w:rsidR="00206661" w:rsidRPr="00206661" w:rsidRDefault="00206661" w:rsidP="00AD15C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206661">
        <w:rPr>
          <w:rFonts w:ascii="Times New Roman" w:eastAsia="Times New Roman" w:hAnsi="Times New Roman" w:cs="Times New Roman"/>
          <w:color w:val="000000"/>
          <w:sz w:val="28"/>
          <w:szCs w:val="28"/>
        </w:rPr>
        <w:t>Дохідність таких цінних паперів повністю залежить від ризику, пов'язаного з емітентом.</w:t>
      </w:r>
      <w:r w:rsidR="00AD15C3">
        <w:rPr>
          <w:rFonts w:ascii="Times New Roman" w:eastAsia="Times New Roman" w:hAnsi="Times New Roman" w:cs="Times New Roman"/>
          <w:color w:val="000000"/>
          <w:sz w:val="28"/>
          <w:szCs w:val="28"/>
          <w:lang w:val="uk-UA"/>
        </w:rPr>
        <w:t xml:space="preserve"> </w:t>
      </w:r>
      <w:r w:rsidRPr="00206661">
        <w:rPr>
          <w:rFonts w:ascii="Times New Roman" w:eastAsia="Times New Roman" w:hAnsi="Times New Roman" w:cs="Times New Roman"/>
          <w:color w:val="000000"/>
          <w:sz w:val="28"/>
          <w:szCs w:val="28"/>
        </w:rPr>
        <w:t>Залежність наступна:</w:t>
      </w:r>
    </w:p>
    <w:p w:rsidR="00206661" w:rsidRPr="00AD15C3" w:rsidRDefault="00206661" w:rsidP="00AD15C3">
      <w:pPr>
        <w:pStyle w:val="a6"/>
        <w:numPr>
          <w:ilvl w:val="0"/>
          <w:numId w:val="33"/>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rPr>
      </w:pPr>
      <w:r w:rsidRPr="00AD15C3">
        <w:rPr>
          <w:rFonts w:ascii="Times New Roman" w:eastAsia="Times New Roman" w:hAnsi="Times New Roman" w:cs="Times New Roman"/>
          <w:color w:val="000000"/>
          <w:sz w:val="28"/>
          <w:szCs w:val="28"/>
        </w:rPr>
        <w:t>Чим надійніш</w:t>
      </w:r>
      <w:r w:rsidR="00AD15C3" w:rsidRPr="00AD15C3">
        <w:rPr>
          <w:rFonts w:ascii="Times New Roman" w:eastAsia="Times New Roman" w:hAnsi="Times New Roman" w:cs="Times New Roman"/>
          <w:color w:val="000000"/>
          <w:sz w:val="28"/>
          <w:szCs w:val="28"/>
          <w:lang w:val="uk-UA"/>
        </w:rPr>
        <w:t>ий</w:t>
      </w:r>
      <w:r w:rsidRPr="00AD15C3">
        <w:rPr>
          <w:rFonts w:ascii="Times New Roman" w:eastAsia="Times New Roman" w:hAnsi="Times New Roman" w:cs="Times New Roman"/>
          <w:color w:val="000000"/>
          <w:sz w:val="28"/>
          <w:szCs w:val="28"/>
        </w:rPr>
        <w:t xml:space="preserve"> емітент, тим нижч</w:t>
      </w:r>
      <w:r w:rsidR="00AD15C3" w:rsidRPr="00AD15C3">
        <w:rPr>
          <w:rFonts w:ascii="Times New Roman" w:eastAsia="Times New Roman" w:hAnsi="Times New Roman" w:cs="Times New Roman"/>
          <w:color w:val="000000"/>
          <w:sz w:val="28"/>
          <w:szCs w:val="28"/>
          <w:lang w:val="uk-UA"/>
        </w:rPr>
        <w:t>ий</w:t>
      </w:r>
      <w:r w:rsidRPr="00AD15C3">
        <w:rPr>
          <w:rFonts w:ascii="Times New Roman" w:eastAsia="Times New Roman" w:hAnsi="Times New Roman" w:cs="Times New Roman"/>
          <w:color w:val="000000"/>
          <w:sz w:val="28"/>
          <w:szCs w:val="28"/>
        </w:rPr>
        <w:t xml:space="preserve"> ризик і дохід нижч</w:t>
      </w:r>
      <w:r w:rsidR="00AD15C3" w:rsidRPr="00AD15C3">
        <w:rPr>
          <w:rFonts w:ascii="Times New Roman" w:eastAsia="Times New Roman" w:hAnsi="Times New Roman" w:cs="Times New Roman"/>
          <w:color w:val="000000"/>
          <w:sz w:val="28"/>
          <w:szCs w:val="28"/>
          <w:lang w:val="uk-UA"/>
        </w:rPr>
        <w:t>ий</w:t>
      </w:r>
      <w:r w:rsidRPr="00AD15C3">
        <w:rPr>
          <w:rFonts w:ascii="Times New Roman" w:eastAsia="Times New Roman" w:hAnsi="Times New Roman" w:cs="Times New Roman"/>
          <w:color w:val="000000"/>
          <w:sz w:val="28"/>
          <w:szCs w:val="28"/>
        </w:rPr>
        <w:t>.</w:t>
      </w:r>
    </w:p>
    <w:p w:rsidR="00206661" w:rsidRPr="00AD15C3" w:rsidRDefault="00206661" w:rsidP="00AD15C3">
      <w:pPr>
        <w:pStyle w:val="a6"/>
        <w:numPr>
          <w:ilvl w:val="0"/>
          <w:numId w:val="33"/>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rPr>
      </w:pPr>
      <w:r w:rsidRPr="00AD15C3">
        <w:rPr>
          <w:rFonts w:ascii="Times New Roman" w:eastAsia="Times New Roman" w:hAnsi="Times New Roman" w:cs="Times New Roman"/>
          <w:color w:val="000000"/>
          <w:sz w:val="28"/>
          <w:szCs w:val="28"/>
        </w:rPr>
        <w:t>Чим емітент не надійніш</w:t>
      </w:r>
      <w:r w:rsidR="00AD15C3" w:rsidRPr="00AD15C3">
        <w:rPr>
          <w:rFonts w:ascii="Times New Roman" w:eastAsia="Times New Roman" w:hAnsi="Times New Roman" w:cs="Times New Roman"/>
          <w:color w:val="000000"/>
          <w:sz w:val="28"/>
          <w:szCs w:val="28"/>
          <w:lang w:val="uk-UA"/>
        </w:rPr>
        <w:t>ий</w:t>
      </w:r>
      <w:r w:rsidRPr="00AD15C3">
        <w:rPr>
          <w:rFonts w:ascii="Times New Roman" w:eastAsia="Times New Roman" w:hAnsi="Times New Roman" w:cs="Times New Roman"/>
          <w:color w:val="000000"/>
          <w:sz w:val="28"/>
          <w:szCs w:val="28"/>
        </w:rPr>
        <w:t xml:space="preserve"> тим вищ</w:t>
      </w:r>
      <w:r w:rsidR="00AD15C3" w:rsidRPr="00AD15C3">
        <w:rPr>
          <w:rFonts w:ascii="Times New Roman" w:eastAsia="Times New Roman" w:hAnsi="Times New Roman" w:cs="Times New Roman"/>
          <w:color w:val="000000"/>
          <w:sz w:val="28"/>
          <w:szCs w:val="28"/>
          <w:lang w:val="uk-UA"/>
        </w:rPr>
        <w:t>ий</w:t>
      </w:r>
      <w:r w:rsidRPr="00AD15C3">
        <w:rPr>
          <w:rFonts w:ascii="Times New Roman" w:eastAsia="Times New Roman" w:hAnsi="Times New Roman" w:cs="Times New Roman"/>
          <w:color w:val="000000"/>
          <w:sz w:val="28"/>
          <w:szCs w:val="28"/>
        </w:rPr>
        <w:t xml:space="preserve"> ризик і вищ</w:t>
      </w:r>
      <w:r w:rsidR="00AD15C3" w:rsidRPr="00AD15C3">
        <w:rPr>
          <w:rFonts w:ascii="Times New Roman" w:eastAsia="Times New Roman" w:hAnsi="Times New Roman" w:cs="Times New Roman"/>
          <w:color w:val="000000"/>
          <w:sz w:val="28"/>
          <w:szCs w:val="28"/>
          <w:lang w:val="uk-UA"/>
        </w:rPr>
        <w:t>ий</w:t>
      </w:r>
      <w:r w:rsidRPr="00AD15C3">
        <w:rPr>
          <w:rFonts w:ascii="Times New Roman" w:eastAsia="Times New Roman" w:hAnsi="Times New Roman" w:cs="Times New Roman"/>
          <w:color w:val="000000"/>
          <w:sz w:val="28"/>
          <w:szCs w:val="28"/>
        </w:rPr>
        <w:t xml:space="preserve"> потенційний дохід.</w:t>
      </w:r>
    </w:p>
    <w:p w:rsidR="00206661" w:rsidRPr="00206661" w:rsidRDefault="00206661" w:rsidP="0020666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206661">
        <w:rPr>
          <w:rFonts w:ascii="Times New Roman" w:eastAsia="Times New Roman" w:hAnsi="Times New Roman" w:cs="Times New Roman"/>
          <w:color w:val="000000"/>
          <w:sz w:val="28"/>
          <w:szCs w:val="28"/>
        </w:rPr>
        <w:t>Тому, наприклад облігації США мають прибутковість на рівні 1-2%, а облігації компанії «Роги і копита» матимуть прибутковість під 40%, але шанси отримати по них виплати будуть мінімальні.</w:t>
      </w:r>
    </w:p>
    <w:p w:rsidR="00372496" w:rsidRPr="00372496" w:rsidRDefault="00372496" w:rsidP="00372496">
      <w:pPr>
        <w:spacing w:after="0" w:line="360" w:lineRule="auto"/>
        <w:ind w:firstLine="709"/>
        <w:contextualSpacing/>
        <w:jc w:val="both"/>
        <w:rPr>
          <w:rFonts w:ascii="Times New Roman" w:eastAsia="Times New Roman" w:hAnsi="Times New Roman" w:cs="Times New Roman"/>
          <w:color w:val="000000"/>
          <w:sz w:val="28"/>
          <w:szCs w:val="28"/>
          <w:lang w:val="uk-UA"/>
        </w:rPr>
      </w:pPr>
      <w:r w:rsidRPr="00372496">
        <w:rPr>
          <w:rFonts w:ascii="Times New Roman" w:eastAsia="Times New Roman" w:hAnsi="Times New Roman" w:cs="Times New Roman"/>
          <w:color w:val="000000"/>
          <w:sz w:val="28"/>
          <w:szCs w:val="28"/>
          <w:lang w:val="uk-UA"/>
        </w:rPr>
        <w:t xml:space="preserve">Відбулося ознайомлення з станом світового облігаційного ринку. Була дана характеристика міжнародного ринку облігацій. Міжнародний ринок облігацій </w:t>
      </w:r>
      <w:r w:rsidRPr="00372496">
        <w:rPr>
          <w:rFonts w:ascii="Times New Roman" w:eastAsia="Times New Roman" w:hAnsi="Times New Roman" w:cs="Times New Roman"/>
          <w:color w:val="000000"/>
          <w:sz w:val="28"/>
          <w:szCs w:val="28"/>
          <w:lang w:val="uk-UA"/>
        </w:rPr>
        <w:lastRenderedPageBreak/>
        <w:t>являє собою об'єднання двох ринків: ринку іноземних облігацій і ринку єврооблігацій.</w:t>
      </w:r>
    </w:p>
    <w:p w:rsidR="00135DDA" w:rsidRDefault="00372496" w:rsidP="00135DDA">
      <w:pPr>
        <w:spacing w:after="0" w:line="360" w:lineRule="auto"/>
        <w:ind w:firstLine="709"/>
        <w:contextualSpacing/>
        <w:jc w:val="both"/>
        <w:rPr>
          <w:rFonts w:ascii="Times New Roman" w:eastAsia="Times New Roman" w:hAnsi="Times New Roman" w:cs="Times New Roman"/>
          <w:color w:val="000000"/>
          <w:sz w:val="28"/>
          <w:szCs w:val="28"/>
          <w:lang w:val="uk-UA"/>
        </w:rPr>
      </w:pPr>
      <w:r w:rsidRPr="00372496">
        <w:rPr>
          <w:rFonts w:ascii="Times New Roman" w:eastAsia="Times New Roman" w:hAnsi="Times New Roman" w:cs="Times New Roman"/>
          <w:color w:val="000000"/>
          <w:sz w:val="28"/>
          <w:szCs w:val="28"/>
          <w:lang w:val="uk-UA"/>
        </w:rPr>
        <w:t>У курсовій роботі проведений аналіз стану українського ринку облігацій. Вітчизнягий ринок облігацій динамічно розвивається, і багато провідних корпорацій України розміщують свої боргові цінні папери на вітчизняному та міжнародному ринку облігацій. Очевидно, найбільш надійні інвестиції в державні облігації. Також були виявлені ризики цього ринку. Інвестору на облігаційному ринку можуть загрожувати 2 види ризиків: кредитний та ринковий.</w:t>
      </w:r>
      <w:r w:rsidR="00135DDA">
        <w:rPr>
          <w:rFonts w:ascii="Times New Roman" w:eastAsia="Times New Roman" w:hAnsi="Times New Roman" w:cs="Times New Roman"/>
          <w:color w:val="000000"/>
          <w:sz w:val="28"/>
          <w:szCs w:val="28"/>
          <w:lang w:val="uk-UA"/>
        </w:rPr>
        <w:t xml:space="preserve"> </w:t>
      </w:r>
    </w:p>
    <w:p w:rsidR="00372496" w:rsidRPr="00372496" w:rsidRDefault="00372496" w:rsidP="00135DDA">
      <w:pPr>
        <w:spacing w:after="0" w:line="360" w:lineRule="auto"/>
        <w:ind w:firstLine="709"/>
        <w:contextualSpacing/>
        <w:jc w:val="both"/>
        <w:rPr>
          <w:rFonts w:ascii="Times New Roman" w:eastAsia="Times New Roman" w:hAnsi="Times New Roman" w:cs="Times New Roman"/>
          <w:color w:val="000000"/>
          <w:sz w:val="28"/>
          <w:szCs w:val="28"/>
          <w:lang w:val="uk-UA"/>
        </w:rPr>
      </w:pPr>
      <w:r w:rsidRPr="00372496">
        <w:rPr>
          <w:rFonts w:ascii="Times New Roman" w:eastAsia="Times New Roman" w:hAnsi="Times New Roman" w:cs="Times New Roman"/>
          <w:color w:val="000000"/>
          <w:sz w:val="28"/>
          <w:szCs w:val="28"/>
          <w:lang w:val="uk-UA"/>
        </w:rPr>
        <w:t>Інвестиції в облігації великих корпорацій володіють деякими вигідними перевагами. Вони мають повну ліквідність, завдяки чому інвестор може їх активувати в будь-який момент без втрати грошових коштів. Ринок облігацій стабільний і відмінно підходить для різних інвесторів, які мають намір диверсифікувати свої цінні активи. Також в разі сприятливої кон'юнктури ринку від облігації можна отримати додатковий доход за рахунок зростання її вартості.</w:t>
      </w:r>
    </w:p>
    <w:p w:rsidR="003034DA" w:rsidRPr="00603280" w:rsidRDefault="00372496" w:rsidP="00372496">
      <w:pPr>
        <w:spacing w:after="0" w:line="360" w:lineRule="auto"/>
        <w:ind w:firstLine="709"/>
        <w:contextualSpacing/>
        <w:jc w:val="both"/>
        <w:rPr>
          <w:rStyle w:val="ad"/>
          <w:rFonts w:ascii="Times New Roman" w:hAnsi="Times New Roman" w:cs="Times New Roman"/>
          <w:i w:val="0"/>
          <w:sz w:val="28"/>
          <w:szCs w:val="28"/>
          <w:lang w:val="uk-UA"/>
        </w:rPr>
      </w:pPr>
      <w:r w:rsidRPr="00372496">
        <w:rPr>
          <w:rFonts w:ascii="Times New Roman" w:eastAsia="Times New Roman" w:hAnsi="Times New Roman" w:cs="Times New Roman"/>
          <w:color w:val="000000"/>
          <w:sz w:val="28"/>
          <w:szCs w:val="28"/>
          <w:lang w:val="uk-UA"/>
        </w:rPr>
        <w:t>Корпоративні облігації по праву відносяться до «золотої середини», так як їх прибутковість істотно вище, ніж у банківських депозитних рахунків, і вони набагато більш надійні, ніж акції. Інвестиції в облігації корпоративних емітентів можуть приносити прибуток до 20% від їх вартості в рік. Державні облігації мають прибутковість не більше 8% річних, тому особливого інтересу для професійних інвесторів не представляють.</w:t>
      </w:r>
    </w:p>
    <w:p w:rsidR="00C623C6" w:rsidRDefault="00C623C6" w:rsidP="00372496">
      <w:pPr>
        <w:spacing w:after="0" w:line="360" w:lineRule="auto"/>
        <w:ind w:firstLine="709"/>
        <w:contextualSpacing/>
        <w:jc w:val="center"/>
        <w:rPr>
          <w:rFonts w:ascii="Times New Roman" w:hAnsi="Times New Roman" w:cs="Times New Roman"/>
          <w:sz w:val="28"/>
          <w:szCs w:val="28"/>
          <w:lang w:val="uk-UA"/>
        </w:rPr>
      </w:pPr>
    </w:p>
    <w:p w:rsidR="00603280" w:rsidRDefault="00603280" w:rsidP="00372496">
      <w:pPr>
        <w:spacing w:after="0" w:line="360" w:lineRule="auto"/>
        <w:ind w:firstLine="709"/>
        <w:contextualSpacing/>
        <w:jc w:val="center"/>
        <w:rPr>
          <w:rFonts w:ascii="Times New Roman" w:hAnsi="Times New Roman" w:cs="Times New Roman"/>
          <w:sz w:val="28"/>
          <w:szCs w:val="28"/>
          <w:lang w:val="uk-UA"/>
        </w:rPr>
      </w:pPr>
    </w:p>
    <w:p w:rsidR="00780202" w:rsidRDefault="00780202" w:rsidP="00525653">
      <w:pPr>
        <w:spacing w:after="0" w:line="360" w:lineRule="auto"/>
        <w:ind w:firstLine="709"/>
        <w:contextualSpacing/>
        <w:jc w:val="center"/>
        <w:rPr>
          <w:rFonts w:ascii="Times New Roman" w:hAnsi="Times New Roman" w:cs="Times New Roman"/>
          <w:sz w:val="28"/>
          <w:szCs w:val="28"/>
          <w:lang w:val="uk-UA"/>
        </w:rPr>
      </w:pPr>
    </w:p>
    <w:p w:rsidR="00780202" w:rsidRDefault="00780202" w:rsidP="00525653">
      <w:pPr>
        <w:spacing w:after="0" w:line="360" w:lineRule="auto"/>
        <w:ind w:firstLine="709"/>
        <w:contextualSpacing/>
        <w:jc w:val="center"/>
        <w:rPr>
          <w:rFonts w:ascii="Times New Roman" w:hAnsi="Times New Roman" w:cs="Times New Roman"/>
          <w:sz w:val="28"/>
          <w:szCs w:val="28"/>
          <w:lang w:val="uk-UA"/>
        </w:rPr>
      </w:pPr>
    </w:p>
    <w:p w:rsidR="00780202" w:rsidRDefault="00780202" w:rsidP="00525653">
      <w:pPr>
        <w:spacing w:after="0" w:line="360" w:lineRule="auto"/>
        <w:ind w:firstLine="709"/>
        <w:contextualSpacing/>
        <w:jc w:val="center"/>
        <w:rPr>
          <w:rFonts w:ascii="Times New Roman" w:hAnsi="Times New Roman" w:cs="Times New Roman"/>
          <w:sz w:val="28"/>
          <w:szCs w:val="28"/>
          <w:lang w:val="uk-UA"/>
        </w:rPr>
      </w:pPr>
    </w:p>
    <w:p w:rsidR="00780202" w:rsidRDefault="00780202" w:rsidP="00525653">
      <w:pPr>
        <w:spacing w:after="0" w:line="360" w:lineRule="auto"/>
        <w:ind w:firstLine="709"/>
        <w:contextualSpacing/>
        <w:jc w:val="center"/>
        <w:rPr>
          <w:rFonts w:ascii="Times New Roman" w:hAnsi="Times New Roman" w:cs="Times New Roman"/>
          <w:sz w:val="28"/>
          <w:szCs w:val="28"/>
          <w:lang w:val="uk-UA"/>
        </w:rPr>
      </w:pPr>
    </w:p>
    <w:p w:rsidR="00AD15C3" w:rsidRDefault="00AD15C3" w:rsidP="00C54A3A">
      <w:pPr>
        <w:spacing w:after="0" w:line="360" w:lineRule="auto"/>
        <w:ind w:firstLine="709"/>
        <w:contextualSpacing/>
        <w:jc w:val="center"/>
        <w:rPr>
          <w:rFonts w:ascii="Times New Roman" w:hAnsi="Times New Roman" w:cs="Times New Roman"/>
          <w:sz w:val="28"/>
          <w:szCs w:val="28"/>
          <w:lang w:val="uk-UA"/>
        </w:rPr>
      </w:pPr>
      <w:bookmarkStart w:id="0" w:name="bookmark1"/>
    </w:p>
    <w:p w:rsidR="00AD15C3" w:rsidRDefault="00AD15C3" w:rsidP="00C54A3A">
      <w:pPr>
        <w:spacing w:after="0" w:line="360" w:lineRule="auto"/>
        <w:ind w:firstLine="709"/>
        <w:contextualSpacing/>
        <w:jc w:val="center"/>
        <w:rPr>
          <w:rFonts w:ascii="Times New Roman" w:hAnsi="Times New Roman" w:cs="Times New Roman"/>
          <w:sz w:val="28"/>
          <w:szCs w:val="28"/>
          <w:lang w:val="uk-UA"/>
        </w:rPr>
      </w:pPr>
    </w:p>
    <w:p w:rsidR="00EE4FCE" w:rsidRDefault="00EE4FCE" w:rsidP="00C54A3A">
      <w:pPr>
        <w:spacing w:after="0" w:line="360" w:lineRule="auto"/>
        <w:ind w:firstLine="709"/>
        <w:contextualSpacing/>
        <w:jc w:val="center"/>
        <w:rPr>
          <w:rFonts w:ascii="Times New Roman" w:hAnsi="Times New Roman" w:cs="Times New Roman"/>
          <w:sz w:val="28"/>
          <w:szCs w:val="28"/>
          <w:lang w:val="uk-UA"/>
        </w:rPr>
      </w:pPr>
    </w:p>
    <w:p w:rsidR="00AD15C3" w:rsidRDefault="00AD15C3" w:rsidP="00C54A3A">
      <w:pPr>
        <w:spacing w:after="0" w:line="360" w:lineRule="auto"/>
        <w:ind w:firstLine="709"/>
        <w:contextualSpacing/>
        <w:jc w:val="center"/>
        <w:rPr>
          <w:rFonts w:ascii="Times New Roman" w:hAnsi="Times New Roman" w:cs="Times New Roman"/>
          <w:sz w:val="28"/>
          <w:szCs w:val="28"/>
          <w:lang w:val="uk-UA"/>
        </w:rPr>
      </w:pPr>
    </w:p>
    <w:p w:rsidR="00C54A3A" w:rsidRPr="00A969EA" w:rsidRDefault="00C54A3A" w:rsidP="00C54A3A">
      <w:pPr>
        <w:spacing w:after="0" w:line="360" w:lineRule="auto"/>
        <w:ind w:firstLine="709"/>
        <w:contextualSpacing/>
        <w:jc w:val="center"/>
        <w:rPr>
          <w:rFonts w:ascii="Times New Roman" w:hAnsi="Times New Roman" w:cs="Times New Roman"/>
          <w:sz w:val="28"/>
          <w:szCs w:val="28"/>
          <w:lang w:val="uk-UA"/>
        </w:rPr>
      </w:pPr>
      <w:bookmarkStart w:id="1" w:name="_GoBack"/>
      <w:r w:rsidRPr="00A969EA">
        <w:rPr>
          <w:rFonts w:ascii="Times New Roman" w:hAnsi="Times New Roman" w:cs="Times New Roman"/>
          <w:sz w:val="28"/>
          <w:szCs w:val="28"/>
        </w:rPr>
        <w:lastRenderedPageBreak/>
        <w:t>Список використаних джерел</w:t>
      </w:r>
    </w:p>
    <w:p w:rsidR="00C54A3A" w:rsidRPr="00A969EA" w:rsidRDefault="00C54A3A" w:rsidP="00C54A3A">
      <w:pPr>
        <w:pStyle w:val="a6"/>
        <w:numPr>
          <w:ilvl w:val="0"/>
          <w:numId w:val="12"/>
        </w:numPr>
        <w:spacing w:after="0" w:line="360" w:lineRule="auto"/>
        <w:ind w:left="0" w:firstLine="709"/>
        <w:jc w:val="both"/>
        <w:rPr>
          <w:rFonts w:ascii="Times New Roman" w:hAnsi="Times New Roman" w:cs="Times New Roman"/>
          <w:sz w:val="28"/>
          <w:szCs w:val="28"/>
          <w:shd w:val="clear" w:color="auto" w:fill="FFFFFF"/>
          <w:lang w:val="uk-UA"/>
        </w:rPr>
      </w:pPr>
      <w:r w:rsidRPr="00A969EA">
        <w:rPr>
          <w:rFonts w:ascii="Times New Roman" w:hAnsi="Times New Roman" w:cs="Times New Roman"/>
          <w:sz w:val="28"/>
          <w:szCs w:val="28"/>
          <w:lang w:val="uk-UA"/>
        </w:rPr>
        <w:t>Афанасьєва Т.А. Інвестиційні операції банків України з цінними паперами / Т.А. Афанасьєва // Економічний простір. – 2008. - №19. – С. 170-180.</w:t>
      </w:r>
    </w:p>
    <w:p w:rsidR="00C54A3A" w:rsidRPr="00820BFD" w:rsidRDefault="00C54A3A" w:rsidP="00C54A3A">
      <w:pPr>
        <w:pStyle w:val="a6"/>
        <w:numPr>
          <w:ilvl w:val="0"/>
          <w:numId w:val="12"/>
        </w:numPr>
        <w:spacing w:after="0" w:line="360" w:lineRule="auto"/>
        <w:ind w:left="0" w:firstLine="709"/>
        <w:jc w:val="both"/>
        <w:rPr>
          <w:rFonts w:ascii="Times New Roman" w:hAnsi="Times New Roman" w:cs="Times New Roman"/>
          <w:sz w:val="28"/>
          <w:szCs w:val="28"/>
          <w:lang w:val="uk-UA"/>
        </w:rPr>
      </w:pPr>
      <w:r w:rsidRPr="00820BFD">
        <w:rPr>
          <w:rFonts w:ascii="Times New Roman" w:hAnsi="Times New Roman" w:cs="Times New Roman"/>
          <w:sz w:val="28"/>
          <w:szCs w:val="28"/>
          <w:lang w:val="uk-UA"/>
        </w:rPr>
        <w:t xml:space="preserve">Білоус І. В. Інвестиційна привабливість корпоративних облігацій та їх ризики / І. В. Білоус // Формування ринкових відносин в Україні : зб. наук. пр. – К. : НДЕІ. – 2008. – № 3. – С. 91–95. </w:t>
      </w:r>
    </w:p>
    <w:p w:rsidR="00C54A3A" w:rsidRPr="00E100E0" w:rsidRDefault="00C54A3A" w:rsidP="00C54A3A">
      <w:pPr>
        <w:pStyle w:val="a6"/>
        <w:numPr>
          <w:ilvl w:val="0"/>
          <w:numId w:val="12"/>
        </w:numPr>
        <w:spacing w:after="0" w:line="360" w:lineRule="auto"/>
        <w:ind w:left="0" w:firstLine="709"/>
        <w:jc w:val="both"/>
        <w:rPr>
          <w:rFonts w:ascii="Times New Roman" w:hAnsi="Times New Roman" w:cs="Times New Roman"/>
          <w:sz w:val="28"/>
          <w:szCs w:val="28"/>
          <w:lang w:val="uk-UA"/>
        </w:rPr>
      </w:pPr>
      <w:r w:rsidRPr="00E100E0">
        <w:rPr>
          <w:rFonts w:ascii="Times New Roman" w:hAnsi="Times New Roman" w:cs="Times New Roman"/>
          <w:sz w:val="28"/>
          <w:szCs w:val="28"/>
        </w:rPr>
        <w:t xml:space="preserve">Вальчишен А. Ринок корпоративних облігацій в Україні : аналітичний огляд / А. Вальчишен // Проект технічної допомоги Агентства США з міжнародного розвитку компанії ПАДКО “Впровадження пенсійної реформи в Україні”. – К., 2003. – 37 с. </w:t>
      </w:r>
    </w:p>
    <w:p w:rsidR="00C54A3A" w:rsidRPr="00A969EA" w:rsidRDefault="00C54A3A" w:rsidP="00C54A3A">
      <w:pPr>
        <w:pStyle w:val="a6"/>
        <w:numPr>
          <w:ilvl w:val="0"/>
          <w:numId w:val="12"/>
        </w:numPr>
        <w:spacing w:after="0" w:line="360" w:lineRule="auto"/>
        <w:ind w:left="0" w:firstLine="709"/>
        <w:jc w:val="both"/>
        <w:rPr>
          <w:rFonts w:ascii="Times New Roman" w:hAnsi="Times New Roman" w:cs="Times New Roman"/>
          <w:sz w:val="28"/>
          <w:szCs w:val="28"/>
          <w:shd w:val="clear" w:color="auto" w:fill="FFFFFF"/>
          <w:lang w:val="uk-UA"/>
        </w:rPr>
      </w:pPr>
      <w:r w:rsidRPr="00E100E0">
        <w:rPr>
          <w:rFonts w:ascii="Times New Roman" w:hAnsi="Times New Roman" w:cs="Times New Roman"/>
          <w:sz w:val="28"/>
          <w:szCs w:val="28"/>
          <w:shd w:val="clear" w:color="auto" w:fill="FFFFFF"/>
          <w:lang w:val="uk-UA"/>
        </w:rPr>
        <w:t>Ватаманюк З.Г. Перспективи розвитку</w:t>
      </w:r>
      <w:r w:rsidRPr="00A969EA">
        <w:rPr>
          <w:rFonts w:ascii="Times New Roman" w:hAnsi="Times New Roman" w:cs="Times New Roman"/>
          <w:sz w:val="28"/>
          <w:szCs w:val="28"/>
          <w:shd w:val="clear" w:color="auto" w:fill="FFFFFF"/>
          <w:lang w:val="uk-UA"/>
        </w:rPr>
        <w:t xml:space="preserve"> ринку цінних паперів в Україні / З.Г. Ватаманюк, О.В. Баула. // Фінанси України. – 2007. – № 5. – С. 75–85.</w:t>
      </w:r>
    </w:p>
    <w:p w:rsidR="00C54A3A" w:rsidRPr="00524161" w:rsidRDefault="00C54A3A" w:rsidP="00C54A3A">
      <w:pPr>
        <w:pStyle w:val="a6"/>
        <w:numPr>
          <w:ilvl w:val="0"/>
          <w:numId w:val="12"/>
        </w:numPr>
        <w:spacing w:after="0" w:line="360" w:lineRule="auto"/>
        <w:ind w:left="0" w:firstLine="709"/>
        <w:jc w:val="both"/>
        <w:rPr>
          <w:rFonts w:ascii="Times New Roman" w:hAnsi="Times New Roman" w:cs="Times New Roman"/>
          <w:sz w:val="28"/>
          <w:szCs w:val="28"/>
          <w:shd w:val="clear" w:color="auto" w:fill="FFFFFF"/>
          <w:lang w:val="uk-UA"/>
        </w:rPr>
      </w:pPr>
      <w:r w:rsidRPr="00524161">
        <w:rPr>
          <w:rFonts w:ascii="Times New Roman" w:hAnsi="Times New Roman" w:cs="Times New Roman"/>
          <w:sz w:val="28"/>
          <w:szCs w:val="28"/>
          <w:shd w:val="clear" w:color="auto" w:fill="FFFFFF"/>
          <w:lang w:val="uk-UA"/>
        </w:rPr>
        <w:t>Ватаманюк З.Г. Ринок цінних паперів в умовах фінансової глобалізації / З.Г. Ватаманюк, Н.В. Звонар. // Фінанси України. – 2007. – № 6. – С. 82–89.</w:t>
      </w:r>
    </w:p>
    <w:p w:rsidR="00C54A3A" w:rsidRPr="00157506" w:rsidRDefault="00C54A3A" w:rsidP="00C54A3A">
      <w:pPr>
        <w:pStyle w:val="a6"/>
        <w:numPr>
          <w:ilvl w:val="0"/>
          <w:numId w:val="12"/>
        </w:numPr>
        <w:spacing w:after="0" w:line="360" w:lineRule="auto"/>
        <w:ind w:left="0" w:firstLine="709"/>
        <w:jc w:val="both"/>
        <w:rPr>
          <w:rFonts w:ascii="Times New Roman" w:hAnsi="Times New Roman" w:cs="Times New Roman"/>
          <w:sz w:val="28"/>
          <w:szCs w:val="28"/>
          <w:lang w:val="uk-UA"/>
        </w:rPr>
      </w:pPr>
      <w:r w:rsidRPr="00157506">
        <w:rPr>
          <w:rFonts w:ascii="Times New Roman" w:hAnsi="Times New Roman" w:cs="Times New Roman"/>
          <w:sz w:val="28"/>
          <w:szCs w:val="28"/>
          <w:lang w:val="uk-UA"/>
        </w:rPr>
        <w:t xml:space="preserve">Версаль Н. Корпоративні облігації у формуванні ресурсної бази комерційних банків України / Н. Версаль, В.Нестеренко // Фінанси України. – 2006. – № 10. – С. 96 – 104. </w:t>
      </w:r>
    </w:p>
    <w:p w:rsidR="00C54A3A" w:rsidRPr="001459A7" w:rsidRDefault="00C54A3A" w:rsidP="00C54A3A">
      <w:pPr>
        <w:pStyle w:val="a6"/>
        <w:numPr>
          <w:ilvl w:val="0"/>
          <w:numId w:val="12"/>
        </w:numPr>
        <w:spacing w:after="0" w:line="360" w:lineRule="auto"/>
        <w:ind w:left="0" w:firstLine="709"/>
        <w:jc w:val="both"/>
        <w:rPr>
          <w:rFonts w:ascii="Times New Roman" w:hAnsi="Times New Roman" w:cs="Times New Roman"/>
          <w:sz w:val="28"/>
          <w:szCs w:val="28"/>
          <w:shd w:val="clear" w:color="auto" w:fill="FFFFFF"/>
          <w:lang w:val="uk-UA"/>
        </w:rPr>
      </w:pPr>
      <w:r w:rsidRPr="001459A7">
        <w:rPr>
          <w:rFonts w:ascii="Times New Roman" w:hAnsi="Times New Roman" w:cs="Times New Roman"/>
          <w:sz w:val="28"/>
          <w:szCs w:val="28"/>
          <w:lang w:val="uk-UA"/>
        </w:rPr>
        <w:t xml:space="preserve">Єпіфанов А.О., Маслак Н.Г., Сало І.В. Операції комерційних банків: Навчальний посібник. – Суми: ВТД «Університетська книга», 2007. – 523 с. </w:t>
      </w:r>
    </w:p>
    <w:p w:rsidR="00C54A3A" w:rsidRPr="001459A7" w:rsidRDefault="00C54A3A" w:rsidP="00C54A3A">
      <w:pPr>
        <w:pStyle w:val="a6"/>
        <w:numPr>
          <w:ilvl w:val="0"/>
          <w:numId w:val="12"/>
        </w:numPr>
        <w:spacing w:after="0" w:line="360" w:lineRule="auto"/>
        <w:ind w:left="0" w:firstLine="709"/>
        <w:jc w:val="both"/>
        <w:rPr>
          <w:rFonts w:ascii="Times New Roman" w:hAnsi="Times New Roman" w:cs="Times New Roman"/>
          <w:sz w:val="28"/>
          <w:szCs w:val="28"/>
          <w:shd w:val="clear" w:color="auto" w:fill="FFFFFF"/>
          <w:lang w:val="uk-UA"/>
        </w:rPr>
      </w:pPr>
      <w:r w:rsidRPr="00C54A3A">
        <w:rPr>
          <w:rFonts w:ascii="Times New Roman" w:hAnsi="Times New Roman" w:cs="Times New Roman"/>
          <w:color w:val="FF0000"/>
          <w:sz w:val="28"/>
          <w:szCs w:val="28"/>
          <w:lang w:val="uk-UA"/>
        </w:rPr>
        <w:t xml:space="preserve"> </w:t>
      </w:r>
      <w:r w:rsidRPr="00C54A3A">
        <w:rPr>
          <w:rFonts w:ascii="Times New Roman" w:hAnsi="Times New Roman" w:cs="Times New Roman"/>
          <w:sz w:val="28"/>
          <w:szCs w:val="28"/>
          <w:lang w:val="uk-UA"/>
        </w:rPr>
        <w:t>Закон  України «Про банки і банківську діяльність» від 07.12.2000  №2121-ІІІ//Законодавчі і нормативні акти з банківської</w:t>
      </w:r>
      <w:r w:rsidRPr="001459A7">
        <w:rPr>
          <w:rFonts w:ascii="Times New Roman" w:hAnsi="Times New Roman" w:cs="Times New Roman"/>
          <w:sz w:val="28"/>
          <w:szCs w:val="28"/>
          <w:lang w:val="uk-UA"/>
        </w:rPr>
        <w:t xml:space="preserve">  діяльності (Додаток  до  журналу «Вісник Національного  банку України»). – 2001. – №1. – С. 3-46 (зі  змінами та доповненнями).</w:t>
      </w:r>
    </w:p>
    <w:p w:rsidR="00C54A3A" w:rsidRPr="00F67B66" w:rsidRDefault="00C54A3A" w:rsidP="00C54A3A">
      <w:pPr>
        <w:pStyle w:val="a6"/>
        <w:numPr>
          <w:ilvl w:val="0"/>
          <w:numId w:val="12"/>
        </w:numPr>
        <w:spacing w:after="0" w:line="360" w:lineRule="auto"/>
        <w:ind w:left="0" w:firstLine="709"/>
        <w:jc w:val="both"/>
        <w:rPr>
          <w:rFonts w:ascii="Times New Roman" w:hAnsi="Times New Roman" w:cs="Times New Roman"/>
          <w:sz w:val="28"/>
          <w:szCs w:val="28"/>
          <w:shd w:val="clear" w:color="auto" w:fill="FFFFFF"/>
          <w:lang w:val="uk-UA"/>
        </w:rPr>
      </w:pPr>
      <w:r w:rsidRPr="00F67B66">
        <w:rPr>
          <w:rFonts w:ascii="Times New Roman" w:hAnsi="Times New Roman" w:cs="Times New Roman"/>
          <w:sz w:val="28"/>
          <w:szCs w:val="28"/>
          <w:shd w:val="clear" w:color="auto" w:fill="FFFFFF"/>
          <w:lang w:val="uk-UA"/>
        </w:rPr>
        <w:t>Калач Г.М. Вплив ринку цінних паперів на обсяги інвестування в реальний сектор економіки//Наукові записки: Збірник наук. праць. Сер. Економіка. Вип.8. Ч.3.-2006.-Вип. 8. Ч. 3 . – С. 338–345. – Економіка</w:t>
      </w:r>
    </w:p>
    <w:p w:rsidR="00C54A3A" w:rsidRPr="00F67B66" w:rsidRDefault="00C54A3A" w:rsidP="00C54A3A">
      <w:pPr>
        <w:pStyle w:val="a6"/>
        <w:numPr>
          <w:ilvl w:val="0"/>
          <w:numId w:val="12"/>
        </w:numPr>
        <w:spacing w:after="0" w:line="360" w:lineRule="auto"/>
        <w:ind w:left="0" w:firstLine="709"/>
        <w:jc w:val="both"/>
        <w:rPr>
          <w:rFonts w:ascii="Times New Roman" w:hAnsi="Times New Roman" w:cs="Times New Roman"/>
          <w:sz w:val="28"/>
          <w:szCs w:val="28"/>
          <w:lang w:val="uk-UA"/>
        </w:rPr>
      </w:pPr>
      <w:r w:rsidRPr="00F67B66">
        <w:rPr>
          <w:rFonts w:ascii="Times New Roman" w:hAnsi="Times New Roman" w:cs="Times New Roman"/>
          <w:sz w:val="28"/>
          <w:szCs w:val="28"/>
          <w:lang w:val="uk-UA"/>
        </w:rPr>
        <w:t xml:space="preserve">Корнєєв В. В. Еволюція і перспективи фінансового ринку України / Корнєєв В. В. // Економіка України. – 2007. – № 9. – С. 21–29. </w:t>
      </w:r>
    </w:p>
    <w:p w:rsidR="00C54A3A" w:rsidRPr="00D85A5B" w:rsidRDefault="00C54A3A" w:rsidP="00C54A3A">
      <w:pPr>
        <w:pStyle w:val="a6"/>
        <w:numPr>
          <w:ilvl w:val="0"/>
          <w:numId w:val="12"/>
        </w:numPr>
        <w:spacing w:after="0" w:line="360" w:lineRule="auto"/>
        <w:ind w:left="0" w:firstLine="709"/>
        <w:jc w:val="both"/>
        <w:rPr>
          <w:rFonts w:ascii="Times New Roman" w:hAnsi="Times New Roman" w:cs="Times New Roman"/>
          <w:sz w:val="28"/>
          <w:szCs w:val="28"/>
          <w:shd w:val="clear" w:color="auto" w:fill="FFFFFF"/>
          <w:lang w:val="uk-UA"/>
        </w:rPr>
      </w:pPr>
      <w:r w:rsidRPr="00D85A5B">
        <w:rPr>
          <w:rFonts w:ascii="Times New Roman" w:hAnsi="Times New Roman" w:cs="Times New Roman"/>
          <w:sz w:val="28"/>
          <w:szCs w:val="28"/>
          <w:shd w:val="clear" w:color="auto" w:fill="FFFFFF"/>
          <w:lang w:val="uk-UA"/>
        </w:rPr>
        <w:lastRenderedPageBreak/>
        <w:t>Кузьмін О.Є. Облігації як фінансовий інструмент емісійної політики корпорацій / О.Є. Кузьмін. // Вісник. Проблеми економіки й управління. – Львів, 2003. – № 484. – С.12–18.</w:t>
      </w:r>
    </w:p>
    <w:p w:rsidR="00C54A3A" w:rsidRPr="004365E3" w:rsidRDefault="00C54A3A" w:rsidP="00C54A3A">
      <w:pPr>
        <w:pStyle w:val="a6"/>
        <w:numPr>
          <w:ilvl w:val="0"/>
          <w:numId w:val="12"/>
        </w:numPr>
        <w:spacing w:after="0" w:line="360" w:lineRule="auto"/>
        <w:ind w:left="0" w:firstLine="709"/>
        <w:jc w:val="both"/>
        <w:rPr>
          <w:rFonts w:ascii="Times New Roman" w:hAnsi="Times New Roman" w:cs="Times New Roman"/>
          <w:sz w:val="28"/>
          <w:szCs w:val="28"/>
          <w:lang w:val="uk-UA"/>
        </w:rPr>
      </w:pPr>
      <w:r w:rsidRPr="004365E3">
        <w:rPr>
          <w:rFonts w:ascii="Times New Roman" w:hAnsi="Times New Roman" w:cs="Times New Roman"/>
          <w:sz w:val="28"/>
          <w:szCs w:val="28"/>
          <w:lang w:val="uk-UA"/>
        </w:rPr>
        <w:t xml:space="preserve">Лапішко З. Я. Вплив фінансових установ на розвиток ринку </w:t>
      </w:r>
      <w:r w:rsidRPr="004365E3">
        <w:rPr>
          <w:rFonts w:cs="Times New Roman"/>
          <w:szCs w:val="28"/>
          <w:lang w:val="uk-UA"/>
        </w:rPr>
        <w:t>державних</w:t>
      </w:r>
      <w:r w:rsidRPr="004365E3">
        <w:rPr>
          <w:rFonts w:ascii="Times New Roman" w:hAnsi="Times New Roman" w:cs="Times New Roman"/>
          <w:sz w:val="28"/>
          <w:szCs w:val="28"/>
          <w:lang w:val="uk-UA"/>
        </w:rPr>
        <w:t xml:space="preserve"> облігацій України / З. Я. Лапішко // Вісник соціально-економічних досліджень : зб. наук. пр. – Одеса : ОДЕУ, 2006. – Вип. 24. – С. 116–122. </w:t>
      </w:r>
    </w:p>
    <w:p w:rsidR="00C54A3A" w:rsidRPr="004365E3" w:rsidRDefault="00C54A3A" w:rsidP="00C54A3A">
      <w:pPr>
        <w:pStyle w:val="a6"/>
        <w:numPr>
          <w:ilvl w:val="0"/>
          <w:numId w:val="12"/>
        </w:numPr>
        <w:spacing w:after="0" w:line="360" w:lineRule="auto"/>
        <w:ind w:left="0" w:firstLine="709"/>
        <w:jc w:val="both"/>
        <w:rPr>
          <w:rFonts w:ascii="Times New Roman" w:hAnsi="Times New Roman" w:cs="Times New Roman"/>
          <w:sz w:val="28"/>
          <w:szCs w:val="28"/>
          <w:lang w:val="uk-UA"/>
        </w:rPr>
      </w:pPr>
      <w:r w:rsidRPr="004365E3">
        <w:rPr>
          <w:rFonts w:ascii="Times New Roman" w:hAnsi="Times New Roman" w:cs="Times New Roman"/>
          <w:sz w:val="28"/>
          <w:szCs w:val="28"/>
        </w:rPr>
        <w:t xml:space="preserve">Лютий І. О. Ринок корпоративних облігацій реального сектору економіки / І. О. Лютий, Т. В. Нічосова // Фінанси України. – 2006. – №7. – С. 59–68. </w:t>
      </w:r>
    </w:p>
    <w:p w:rsidR="00C54A3A" w:rsidRPr="001459A7" w:rsidRDefault="00C54A3A" w:rsidP="00C54A3A">
      <w:pPr>
        <w:pStyle w:val="a6"/>
        <w:numPr>
          <w:ilvl w:val="0"/>
          <w:numId w:val="12"/>
        </w:numPr>
        <w:spacing w:after="0" w:line="360" w:lineRule="auto"/>
        <w:ind w:left="0" w:firstLine="709"/>
        <w:jc w:val="both"/>
        <w:rPr>
          <w:rFonts w:ascii="Times New Roman" w:hAnsi="Times New Roman" w:cs="Times New Roman"/>
          <w:sz w:val="28"/>
          <w:szCs w:val="28"/>
          <w:lang w:val="uk-UA"/>
        </w:rPr>
      </w:pPr>
      <w:r w:rsidRPr="001459A7">
        <w:rPr>
          <w:rFonts w:ascii="Times New Roman" w:hAnsi="Times New Roman" w:cs="Times New Roman"/>
          <w:sz w:val="28"/>
          <w:szCs w:val="28"/>
        </w:rPr>
        <w:t xml:space="preserve">Нічосова Т. В. Системні трансформації ринку корпоративних облігацій України / Т. В. Нічосова // Банківська справа. – 2008. – № 4. – С. 24–30. </w:t>
      </w:r>
    </w:p>
    <w:p w:rsidR="00C54A3A" w:rsidRPr="004365E3" w:rsidRDefault="00C54A3A" w:rsidP="00C54A3A">
      <w:pPr>
        <w:pStyle w:val="a6"/>
        <w:numPr>
          <w:ilvl w:val="0"/>
          <w:numId w:val="12"/>
        </w:numPr>
        <w:spacing w:after="0" w:line="360" w:lineRule="auto"/>
        <w:ind w:left="0" w:firstLine="709"/>
        <w:jc w:val="both"/>
        <w:rPr>
          <w:rFonts w:ascii="Times New Roman" w:hAnsi="Times New Roman" w:cs="Times New Roman"/>
          <w:sz w:val="28"/>
          <w:szCs w:val="28"/>
          <w:shd w:val="clear" w:color="auto" w:fill="FFFFFF"/>
          <w:lang w:val="uk-UA"/>
        </w:rPr>
      </w:pPr>
      <w:r w:rsidRPr="004365E3">
        <w:rPr>
          <w:rFonts w:ascii="Times New Roman" w:hAnsi="Times New Roman" w:cs="Times New Roman"/>
          <w:sz w:val="28"/>
          <w:szCs w:val="28"/>
          <w:shd w:val="clear" w:color="auto" w:fill="FFFFFF"/>
          <w:lang w:val="uk-UA"/>
        </w:rPr>
        <w:t xml:space="preserve">Нічосова Т. Сучасний стан, проблеми та перспективи розвитку ринку корпоративних облігацій в Україні / Т. Нічосова. // Шевченківська весна: Матеріали міжнародної науково-практичної конференції студентів, аспірантів і молодих вчених, присвяченої 15-й річниці незалежності України. </w:t>
      </w:r>
      <w:r w:rsidRPr="004365E3">
        <w:rPr>
          <w:rFonts w:ascii="Times New Roman" w:hAnsi="Times New Roman" w:cs="Times New Roman"/>
          <w:sz w:val="28"/>
          <w:szCs w:val="28"/>
          <w:shd w:val="clear" w:color="auto" w:fill="FFFFFF"/>
        </w:rPr>
        <w:t>Ч.2 / За заг. ред. проф. В.Д. Базилевича. – К.: Логос, 2006. – С. 292–294.</w:t>
      </w:r>
      <w:r w:rsidRPr="004365E3">
        <w:rPr>
          <w:rStyle w:val="apple-converted-space"/>
          <w:rFonts w:ascii="Times New Roman" w:hAnsi="Times New Roman" w:cs="Times New Roman"/>
          <w:sz w:val="28"/>
          <w:szCs w:val="28"/>
          <w:shd w:val="clear" w:color="auto" w:fill="FFFFFF"/>
        </w:rPr>
        <w:t> </w:t>
      </w:r>
    </w:p>
    <w:p w:rsidR="00C54A3A" w:rsidRPr="00CE1F22" w:rsidRDefault="00C54A3A" w:rsidP="00C54A3A">
      <w:pPr>
        <w:pStyle w:val="a6"/>
        <w:numPr>
          <w:ilvl w:val="0"/>
          <w:numId w:val="12"/>
        </w:numPr>
        <w:spacing w:after="0" w:line="360" w:lineRule="auto"/>
        <w:ind w:left="0" w:firstLine="709"/>
        <w:jc w:val="both"/>
        <w:rPr>
          <w:rFonts w:cs="Times New Roman"/>
          <w:szCs w:val="28"/>
          <w:shd w:val="clear" w:color="auto" w:fill="FFFFFF"/>
          <w:lang w:val="uk-UA"/>
        </w:rPr>
      </w:pPr>
      <w:r w:rsidRPr="00CE1F22">
        <w:rPr>
          <w:rFonts w:ascii="Times New Roman" w:hAnsi="Times New Roman" w:cs="Times New Roman"/>
          <w:sz w:val="28"/>
          <w:szCs w:val="28"/>
        </w:rPr>
        <w:t xml:space="preserve">Охріменко О. А. Ринок корпоративних облігацій України: тенденції та суперечності / Охріменко О. А. // Фінанси України. – 2005. – №12. – С. 115–121. </w:t>
      </w:r>
    </w:p>
    <w:p w:rsidR="00C54A3A" w:rsidRPr="00CE1F22" w:rsidRDefault="00C54A3A" w:rsidP="00C54A3A">
      <w:pPr>
        <w:pStyle w:val="a6"/>
        <w:numPr>
          <w:ilvl w:val="0"/>
          <w:numId w:val="12"/>
        </w:numPr>
        <w:spacing w:after="0" w:line="360" w:lineRule="auto"/>
        <w:ind w:left="0" w:firstLine="709"/>
        <w:jc w:val="both"/>
        <w:rPr>
          <w:rFonts w:ascii="Times New Roman" w:hAnsi="Times New Roman" w:cs="Times New Roman"/>
          <w:sz w:val="28"/>
          <w:szCs w:val="28"/>
          <w:shd w:val="clear" w:color="auto" w:fill="FFFFFF"/>
          <w:lang w:val="uk-UA"/>
        </w:rPr>
      </w:pPr>
      <w:r w:rsidRPr="00CE1F22">
        <w:rPr>
          <w:rFonts w:ascii="Times New Roman" w:hAnsi="Times New Roman" w:cs="Times New Roman"/>
          <w:sz w:val="28"/>
          <w:szCs w:val="28"/>
          <w:shd w:val="clear" w:color="auto" w:fill="FFFFFF"/>
        </w:rPr>
        <w:t>Охріменко О. Сучасний стан ринку корпоративних облігацій. / О. Охріменко. // Цінні папери України. – 2005. – № 4. – С. 1721.</w:t>
      </w:r>
    </w:p>
    <w:p w:rsidR="00C54A3A" w:rsidRPr="001459A7" w:rsidRDefault="00C54A3A" w:rsidP="00C54A3A">
      <w:pPr>
        <w:pStyle w:val="a6"/>
        <w:numPr>
          <w:ilvl w:val="0"/>
          <w:numId w:val="12"/>
        </w:numPr>
        <w:spacing w:after="0" w:line="360" w:lineRule="auto"/>
        <w:ind w:left="0" w:firstLine="709"/>
        <w:jc w:val="both"/>
        <w:rPr>
          <w:rFonts w:ascii="Times New Roman" w:hAnsi="Times New Roman" w:cs="Times New Roman"/>
          <w:sz w:val="28"/>
          <w:szCs w:val="28"/>
          <w:lang w:val="uk-UA"/>
        </w:rPr>
      </w:pPr>
      <w:r w:rsidRPr="001459A7">
        <w:rPr>
          <w:rFonts w:ascii="Times New Roman" w:hAnsi="Times New Roman" w:cs="Times New Roman"/>
          <w:sz w:val="28"/>
          <w:szCs w:val="28"/>
          <w:lang w:val="uk-UA"/>
        </w:rPr>
        <w:t xml:space="preserve">Про введення системи обов’язкового рейтингування суб’єктів і інструментів фондового ринку: Рішення ДКЦПФР від 8.12.2004 р. № 542 [Електронний ресурс] – Режим доступу: </w:t>
      </w:r>
      <w:r w:rsidRPr="001459A7">
        <w:rPr>
          <w:rFonts w:ascii="Times New Roman" w:hAnsi="Times New Roman" w:cs="Times New Roman"/>
          <w:sz w:val="28"/>
          <w:szCs w:val="28"/>
        </w:rPr>
        <w:t>http</w:t>
      </w:r>
      <w:r w:rsidRPr="001459A7">
        <w:rPr>
          <w:rFonts w:ascii="Times New Roman" w:hAnsi="Times New Roman" w:cs="Times New Roman"/>
          <w:sz w:val="28"/>
          <w:szCs w:val="28"/>
          <w:lang w:val="uk-UA"/>
        </w:rPr>
        <w:t xml:space="preserve">: // </w:t>
      </w:r>
      <w:r w:rsidRPr="001459A7">
        <w:rPr>
          <w:rFonts w:ascii="Times New Roman" w:hAnsi="Times New Roman" w:cs="Times New Roman"/>
          <w:sz w:val="28"/>
          <w:szCs w:val="28"/>
        </w:rPr>
        <w:t>www</w:t>
      </w:r>
      <w:r w:rsidRPr="001459A7">
        <w:rPr>
          <w:rFonts w:ascii="Times New Roman" w:hAnsi="Times New Roman" w:cs="Times New Roman"/>
          <w:sz w:val="28"/>
          <w:szCs w:val="28"/>
          <w:lang w:val="uk-UA"/>
        </w:rPr>
        <w:t xml:space="preserve">. </w:t>
      </w:r>
      <w:r w:rsidRPr="001459A7">
        <w:rPr>
          <w:rFonts w:ascii="Times New Roman" w:hAnsi="Times New Roman" w:cs="Times New Roman"/>
          <w:sz w:val="28"/>
          <w:szCs w:val="28"/>
        </w:rPr>
        <w:t>rada</w:t>
      </w:r>
      <w:r w:rsidRPr="001459A7">
        <w:rPr>
          <w:rFonts w:ascii="Times New Roman" w:hAnsi="Times New Roman" w:cs="Times New Roman"/>
          <w:sz w:val="28"/>
          <w:szCs w:val="28"/>
          <w:lang w:val="uk-UA"/>
        </w:rPr>
        <w:t xml:space="preserve">. </w:t>
      </w:r>
      <w:r w:rsidRPr="001459A7">
        <w:rPr>
          <w:rFonts w:ascii="Times New Roman" w:hAnsi="Times New Roman" w:cs="Times New Roman"/>
          <w:sz w:val="28"/>
          <w:szCs w:val="28"/>
        </w:rPr>
        <w:t>gov</w:t>
      </w:r>
      <w:r w:rsidRPr="001459A7">
        <w:rPr>
          <w:rFonts w:ascii="Times New Roman" w:hAnsi="Times New Roman" w:cs="Times New Roman"/>
          <w:sz w:val="28"/>
          <w:szCs w:val="28"/>
          <w:lang w:val="uk-UA"/>
        </w:rPr>
        <w:t xml:space="preserve">. </w:t>
      </w:r>
      <w:r w:rsidRPr="001459A7">
        <w:rPr>
          <w:rFonts w:ascii="Times New Roman" w:hAnsi="Times New Roman" w:cs="Times New Roman"/>
          <w:sz w:val="28"/>
          <w:szCs w:val="28"/>
        </w:rPr>
        <w:t>ua</w:t>
      </w:r>
      <w:r w:rsidRPr="001459A7">
        <w:rPr>
          <w:rFonts w:ascii="Times New Roman" w:hAnsi="Times New Roman" w:cs="Times New Roman"/>
          <w:sz w:val="28"/>
          <w:szCs w:val="28"/>
          <w:lang w:val="uk-UA"/>
        </w:rPr>
        <w:t xml:space="preserve">. </w:t>
      </w:r>
    </w:p>
    <w:p w:rsidR="00C54A3A" w:rsidRPr="001459A7" w:rsidRDefault="00C54A3A" w:rsidP="00C54A3A">
      <w:pPr>
        <w:pStyle w:val="a6"/>
        <w:numPr>
          <w:ilvl w:val="0"/>
          <w:numId w:val="12"/>
        </w:numPr>
        <w:spacing w:after="0" w:line="360" w:lineRule="auto"/>
        <w:ind w:left="0" w:firstLine="709"/>
        <w:jc w:val="both"/>
        <w:rPr>
          <w:rFonts w:ascii="Times New Roman" w:hAnsi="Times New Roman" w:cs="Times New Roman"/>
          <w:sz w:val="28"/>
          <w:szCs w:val="28"/>
          <w:shd w:val="clear" w:color="auto" w:fill="FFFFFF"/>
          <w:lang w:val="uk-UA"/>
        </w:rPr>
      </w:pPr>
      <w:r w:rsidRPr="001459A7">
        <w:rPr>
          <w:rFonts w:ascii="Times New Roman" w:hAnsi="Times New Roman" w:cs="Times New Roman"/>
          <w:sz w:val="28"/>
          <w:szCs w:val="28"/>
          <w:lang w:val="uk-UA"/>
        </w:rPr>
        <w:t xml:space="preserve">Про цінні папери і фондовий ринок: Закон України від 23.02.2006 р. № 3480-ІV. </w:t>
      </w:r>
    </w:p>
    <w:p w:rsidR="00C54A3A" w:rsidRPr="00996A4F" w:rsidRDefault="00C54A3A" w:rsidP="00C54A3A">
      <w:pPr>
        <w:pStyle w:val="a6"/>
        <w:numPr>
          <w:ilvl w:val="0"/>
          <w:numId w:val="12"/>
        </w:numPr>
        <w:spacing w:after="0" w:line="360" w:lineRule="auto"/>
        <w:ind w:left="0" w:firstLine="709"/>
        <w:jc w:val="both"/>
        <w:rPr>
          <w:rFonts w:ascii="Times New Roman" w:hAnsi="Times New Roman" w:cs="Times New Roman"/>
          <w:sz w:val="28"/>
          <w:szCs w:val="28"/>
          <w:lang w:val="uk-UA"/>
        </w:rPr>
      </w:pPr>
      <w:r w:rsidRPr="00996A4F">
        <w:rPr>
          <w:rFonts w:ascii="Times New Roman" w:hAnsi="Times New Roman" w:cs="Times New Roman"/>
          <w:sz w:val="28"/>
          <w:szCs w:val="28"/>
          <w:lang w:val="uk-UA"/>
        </w:rPr>
        <w:t xml:space="preserve">Ринок боргових цінних паперів в Україні: суперечності та тенденції розвитку : монографія / [Лютий І. О., Гриценко Т. В., Любкіна О. В. та ін.]. – К. : Центр учбової літератури, 2008. – 432 с. </w:t>
      </w:r>
    </w:p>
    <w:p w:rsidR="00C54A3A" w:rsidRPr="00F67B66" w:rsidRDefault="00C54A3A" w:rsidP="00C54A3A">
      <w:pPr>
        <w:pStyle w:val="a6"/>
        <w:numPr>
          <w:ilvl w:val="0"/>
          <w:numId w:val="12"/>
        </w:numPr>
        <w:spacing w:after="0" w:line="360" w:lineRule="auto"/>
        <w:ind w:left="0" w:firstLine="709"/>
        <w:jc w:val="both"/>
        <w:rPr>
          <w:rFonts w:ascii="Times New Roman" w:hAnsi="Times New Roman" w:cs="Times New Roman"/>
          <w:sz w:val="28"/>
          <w:szCs w:val="28"/>
          <w:shd w:val="clear" w:color="auto" w:fill="FFFFFF"/>
          <w:lang w:val="uk-UA"/>
        </w:rPr>
      </w:pPr>
      <w:r w:rsidRPr="00F67B66">
        <w:rPr>
          <w:rFonts w:ascii="Times New Roman" w:hAnsi="Times New Roman" w:cs="Times New Roman"/>
          <w:sz w:val="28"/>
          <w:szCs w:val="28"/>
          <w:shd w:val="clear" w:color="auto" w:fill="FFFFFF"/>
        </w:rPr>
        <w:t>Ромашко О.Ю. Регулювання міжнародних фондових ринків: навч. Посібник / О.Ю. Ромашко. – К.: КНЕУ, 2000. – 240 с.</w:t>
      </w:r>
    </w:p>
    <w:p w:rsidR="00C54A3A" w:rsidRPr="00CE1F22" w:rsidRDefault="00C54A3A" w:rsidP="00C54A3A">
      <w:pPr>
        <w:pStyle w:val="a6"/>
        <w:numPr>
          <w:ilvl w:val="0"/>
          <w:numId w:val="12"/>
        </w:numPr>
        <w:spacing w:after="0" w:line="360" w:lineRule="auto"/>
        <w:ind w:left="0" w:firstLine="709"/>
        <w:jc w:val="both"/>
        <w:rPr>
          <w:rFonts w:ascii="Times New Roman" w:hAnsi="Times New Roman" w:cs="Times New Roman"/>
          <w:sz w:val="28"/>
          <w:szCs w:val="28"/>
          <w:lang w:val="uk-UA"/>
        </w:rPr>
      </w:pPr>
      <w:r w:rsidRPr="00CE1F22">
        <w:rPr>
          <w:rFonts w:ascii="Times New Roman" w:hAnsi="Times New Roman" w:cs="Times New Roman"/>
          <w:sz w:val="28"/>
          <w:szCs w:val="28"/>
        </w:rPr>
        <w:lastRenderedPageBreak/>
        <w:t>Суторміна В. М. Фінанси зарубіжних корпорацій : підручник / В. М. Суторміна. – К. : КНЕУ, 2004. – 566 с.</w:t>
      </w:r>
    </w:p>
    <w:p w:rsidR="00C54A3A" w:rsidRPr="00996A4F" w:rsidRDefault="00C54A3A" w:rsidP="00C54A3A">
      <w:pPr>
        <w:pStyle w:val="a6"/>
        <w:numPr>
          <w:ilvl w:val="0"/>
          <w:numId w:val="12"/>
        </w:numPr>
        <w:spacing w:after="0" w:line="360" w:lineRule="auto"/>
        <w:ind w:left="0" w:firstLine="709"/>
        <w:jc w:val="both"/>
        <w:rPr>
          <w:rFonts w:ascii="Times New Roman" w:hAnsi="Times New Roman" w:cs="Times New Roman"/>
          <w:sz w:val="28"/>
          <w:szCs w:val="28"/>
          <w:shd w:val="clear" w:color="auto" w:fill="FFFFFF"/>
          <w:lang w:val="uk-UA"/>
        </w:rPr>
      </w:pPr>
      <w:r w:rsidRPr="00CE1F22">
        <w:rPr>
          <w:rFonts w:ascii="Times New Roman" w:hAnsi="Times New Roman" w:cs="Times New Roman"/>
          <w:sz w:val="28"/>
          <w:szCs w:val="28"/>
          <w:shd w:val="clear" w:color="auto" w:fill="FFFFFF"/>
        </w:rPr>
        <w:t>Терещенко Г.М. Проблеми</w:t>
      </w:r>
      <w:r w:rsidRPr="00996A4F">
        <w:rPr>
          <w:rFonts w:ascii="Times New Roman" w:hAnsi="Times New Roman" w:cs="Times New Roman"/>
          <w:sz w:val="28"/>
          <w:szCs w:val="28"/>
          <w:shd w:val="clear" w:color="auto" w:fill="FFFFFF"/>
        </w:rPr>
        <w:t xml:space="preserve"> становлення та напрями удосконалення функціонування ринку цінних паперів в Україні / Г.М. Терещенко. // Фінанси України. – 2007. – № 6. – С. 97–104.</w:t>
      </w:r>
    </w:p>
    <w:p w:rsidR="00C54A3A" w:rsidRPr="00996A4F" w:rsidRDefault="00C54A3A" w:rsidP="00C54A3A">
      <w:pPr>
        <w:pStyle w:val="a6"/>
        <w:numPr>
          <w:ilvl w:val="0"/>
          <w:numId w:val="12"/>
        </w:numPr>
        <w:spacing w:after="0" w:line="360" w:lineRule="auto"/>
        <w:ind w:left="0" w:firstLine="709"/>
        <w:jc w:val="both"/>
        <w:rPr>
          <w:rFonts w:ascii="Times New Roman" w:hAnsi="Times New Roman" w:cs="Times New Roman"/>
          <w:sz w:val="28"/>
          <w:szCs w:val="28"/>
          <w:shd w:val="clear" w:color="auto" w:fill="FFFFFF"/>
          <w:lang w:val="uk-UA"/>
        </w:rPr>
      </w:pPr>
      <w:r w:rsidRPr="00996A4F">
        <w:rPr>
          <w:rFonts w:ascii="Times New Roman" w:hAnsi="Times New Roman" w:cs="Times New Roman"/>
          <w:sz w:val="28"/>
          <w:szCs w:val="28"/>
          <w:shd w:val="clear" w:color="auto" w:fill="FFFFFF"/>
          <w:lang w:val="uk-UA"/>
        </w:rPr>
        <w:t>Черніков Г. Корпоративні облігації на ринку України / Г. Черніков, Р. Кільмухаметов. // Ринок цінних паперів України. – 2005. – № 11–12. – С. 7–14.</w:t>
      </w:r>
    </w:p>
    <w:p w:rsidR="00C54A3A" w:rsidRPr="00A969EA" w:rsidRDefault="00C54A3A" w:rsidP="00C54A3A">
      <w:pPr>
        <w:pStyle w:val="a6"/>
        <w:numPr>
          <w:ilvl w:val="0"/>
          <w:numId w:val="12"/>
        </w:numPr>
        <w:spacing w:after="0" w:line="360" w:lineRule="auto"/>
        <w:ind w:left="0" w:firstLine="709"/>
        <w:jc w:val="both"/>
        <w:rPr>
          <w:rFonts w:ascii="Times New Roman" w:hAnsi="Times New Roman" w:cs="Times New Roman"/>
          <w:sz w:val="28"/>
          <w:szCs w:val="28"/>
          <w:lang w:val="uk-UA"/>
        </w:rPr>
      </w:pPr>
      <w:r w:rsidRPr="00A969EA">
        <w:rPr>
          <w:rFonts w:ascii="Times New Roman" w:hAnsi="Times New Roman" w:cs="Times New Roman"/>
          <w:sz w:val="28"/>
          <w:szCs w:val="28"/>
        </w:rPr>
        <w:t>Шапран В.І. Банки на ринку корпоративних цінних паперів України: Автореф. дис... канд. екон. наук: 08.04.01 / В.І.Шапран. – К.: Київськ. нац. екон. ун-т. – 2005. – 18 с.</w:t>
      </w:r>
    </w:p>
    <w:p w:rsidR="00C54A3A" w:rsidRDefault="00C54A3A" w:rsidP="00C54A3A">
      <w:pPr>
        <w:pStyle w:val="a6"/>
        <w:numPr>
          <w:ilvl w:val="0"/>
          <w:numId w:val="12"/>
        </w:numPr>
        <w:spacing w:after="0" w:line="360" w:lineRule="auto"/>
        <w:ind w:left="0" w:firstLine="709"/>
        <w:jc w:val="both"/>
        <w:rPr>
          <w:rFonts w:ascii="Times New Roman" w:hAnsi="Times New Roman" w:cs="Times New Roman"/>
          <w:sz w:val="28"/>
          <w:szCs w:val="28"/>
          <w:shd w:val="clear" w:color="auto" w:fill="FFFFFF"/>
          <w:lang w:val="uk-UA"/>
        </w:rPr>
      </w:pPr>
      <w:r w:rsidRPr="001459A7">
        <w:rPr>
          <w:rFonts w:ascii="Times New Roman" w:hAnsi="Times New Roman" w:cs="Times New Roman"/>
          <w:sz w:val="28"/>
          <w:szCs w:val="28"/>
          <w:shd w:val="clear" w:color="auto" w:fill="FFFFFF"/>
          <w:lang w:val="uk-UA"/>
        </w:rPr>
        <w:t>Шелудько Н. М. Інвестиційний процес: оцінка ролі й участі банків / Н.М. Шелудько // Фінанси України : Науково-теоретичний та інформаційно-практичний журнал. – 2003. – № 8. – С. 121–126</w:t>
      </w:r>
    </w:p>
    <w:p w:rsidR="00016B8A" w:rsidRPr="0026754D" w:rsidRDefault="00016B8A" w:rsidP="0026754D">
      <w:pPr>
        <w:pStyle w:val="a6"/>
        <w:numPr>
          <w:ilvl w:val="0"/>
          <w:numId w:val="12"/>
        </w:numPr>
        <w:spacing w:after="0" w:line="360" w:lineRule="auto"/>
        <w:ind w:left="0" w:firstLine="709"/>
        <w:jc w:val="both"/>
        <w:rPr>
          <w:rFonts w:ascii="Times New Roman" w:hAnsi="Times New Roman" w:cs="Times New Roman"/>
          <w:sz w:val="28"/>
          <w:szCs w:val="28"/>
          <w:shd w:val="clear" w:color="auto" w:fill="FFFFFF"/>
          <w:lang w:val="uk-UA"/>
        </w:rPr>
      </w:pPr>
      <w:r w:rsidRPr="00780202">
        <w:rPr>
          <w:rFonts w:ascii="Times New Roman" w:hAnsi="Times New Roman" w:cs="Times New Roman"/>
          <w:sz w:val="28"/>
          <w:szCs w:val="28"/>
          <w:lang w:val="uk-UA"/>
        </w:rPr>
        <w:t>. Річні звіти НКЦПФР // Офіційний сайт НКЦПФР / [Електронний ресурс] // Режим доступу до матеріалів:</w:t>
      </w:r>
      <w:r w:rsidRPr="0026754D">
        <w:rPr>
          <w:rFonts w:ascii="Times New Roman" w:hAnsi="Times New Roman" w:cs="Times New Roman"/>
          <w:sz w:val="28"/>
          <w:szCs w:val="28"/>
          <w:lang w:val="en-US"/>
        </w:rPr>
        <w:t>http</w:t>
      </w:r>
      <w:r w:rsidRPr="0026754D">
        <w:rPr>
          <w:rFonts w:ascii="Times New Roman" w:hAnsi="Times New Roman" w:cs="Times New Roman"/>
          <w:sz w:val="28"/>
          <w:szCs w:val="28"/>
          <w:lang w:val="uk-UA"/>
        </w:rPr>
        <w:t>://</w:t>
      </w:r>
      <w:r w:rsidRPr="0026754D">
        <w:rPr>
          <w:rFonts w:ascii="Times New Roman" w:hAnsi="Times New Roman" w:cs="Times New Roman"/>
          <w:sz w:val="28"/>
          <w:szCs w:val="28"/>
          <w:lang w:val="en-US"/>
        </w:rPr>
        <w:t>www</w:t>
      </w:r>
      <w:r w:rsidRPr="0026754D">
        <w:rPr>
          <w:rFonts w:ascii="Times New Roman" w:hAnsi="Times New Roman" w:cs="Times New Roman"/>
          <w:sz w:val="28"/>
          <w:szCs w:val="28"/>
          <w:lang w:val="uk-UA"/>
        </w:rPr>
        <w:t>.</w:t>
      </w:r>
      <w:r w:rsidRPr="0026754D">
        <w:rPr>
          <w:rFonts w:ascii="Times New Roman" w:hAnsi="Times New Roman" w:cs="Times New Roman"/>
          <w:sz w:val="28"/>
          <w:szCs w:val="28"/>
          <w:lang w:val="en-US"/>
        </w:rPr>
        <w:t>nssmc</w:t>
      </w:r>
      <w:r w:rsidRPr="0026754D">
        <w:rPr>
          <w:rFonts w:ascii="Times New Roman" w:hAnsi="Times New Roman" w:cs="Times New Roman"/>
          <w:sz w:val="28"/>
          <w:szCs w:val="28"/>
          <w:lang w:val="uk-UA"/>
        </w:rPr>
        <w:t>.</w:t>
      </w:r>
      <w:r w:rsidRPr="0026754D">
        <w:rPr>
          <w:rFonts w:ascii="Times New Roman" w:hAnsi="Times New Roman" w:cs="Times New Roman"/>
          <w:sz w:val="28"/>
          <w:szCs w:val="28"/>
          <w:lang w:val="en-US"/>
        </w:rPr>
        <w:t>gov</w:t>
      </w:r>
      <w:r w:rsidRPr="0026754D">
        <w:rPr>
          <w:rFonts w:ascii="Times New Roman" w:hAnsi="Times New Roman" w:cs="Times New Roman"/>
          <w:sz w:val="28"/>
          <w:szCs w:val="28"/>
          <w:lang w:val="uk-UA"/>
        </w:rPr>
        <w:t>.</w:t>
      </w:r>
      <w:r w:rsidRPr="0026754D">
        <w:rPr>
          <w:rFonts w:ascii="Times New Roman" w:hAnsi="Times New Roman" w:cs="Times New Roman"/>
          <w:sz w:val="28"/>
          <w:szCs w:val="28"/>
          <w:lang w:val="en-US"/>
        </w:rPr>
        <w:t>ua</w:t>
      </w:r>
      <w:r w:rsidRPr="0026754D">
        <w:rPr>
          <w:rFonts w:ascii="Times New Roman" w:hAnsi="Times New Roman" w:cs="Times New Roman"/>
          <w:sz w:val="28"/>
          <w:szCs w:val="28"/>
          <w:lang w:val="uk-UA"/>
        </w:rPr>
        <w:t xml:space="preserve">/ </w:t>
      </w:r>
      <w:r w:rsidRPr="0026754D">
        <w:rPr>
          <w:rFonts w:ascii="Times New Roman" w:hAnsi="Times New Roman" w:cs="Times New Roman"/>
          <w:sz w:val="28"/>
          <w:szCs w:val="28"/>
          <w:lang w:val="en-US"/>
        </w:rPr>
        <w:t>activities</w:t>
      </w:r>
      <w:r w:rsidRPr="0026754D">
        <w:rPr>
          <w:rFonts w:ascii="Times New Roman" w:hAnsi="Times New Roman" w:cs="Times New Roman"/>
          <w:sz w:val="28"/>
          <w:szCs w:val="28"/>
          <w:lang w:val="uk-UA"/>
        </w:rPr>
        <w:t>/</w:t>
      </w:r>
      <w:r w:rsidRPr="0026754D">
        <w:rPr>
          <w:rFonts w:ascii="Times New Roman" w:hAnsi="Times New Roman" w:cs="Times New Roman"/>
          <w:sz w:val="28"/>
          <w:szCs w:val="28"/>
          <w:lang w:val="en-US"/>
        </w:rPr>
        <w:t>annual</w:t>
      </w:r>
      <w:r w:rsidR="0026754D">
        <w:rPr>
          <w:rFonts w:ascii="Times New Roman" w:hAnsi="Times New Roman" w:cs="Times New Roman"/>
          <w:sz w:val="28"/>
          <w:szCs w:val="28"/>
          <w:lang w:val="uk-UA"/>
        </w:rPr>
        <w:t xml:space="preserve"> </w:t>
      </w:r>
      <w:r w:rsidR="00780202" w:rsidRPr="0026754D">
        <w:rPr>
          <w:rFonts w:ascii="Times New Roman" w:hAnsi="Times New Roman" w:cs="Times New Roman"/>
          <w:sz w:val="28"/>
          <w:szCs w:val="28"/>
          <w:lang w:val="uk-UA"/>
        </w:rPr>
        <w:t xml:space="preserve"> </w:t>
      </w:r>
    </w:p>
    <w:bookmarkEnd w:id="0"/>
    <w:bookmarkEnd w:id="1"/>
    <w:p w:rsidR="00C54A3A" w:rsidRDefault="00C54A3A" w:rsidP="00525653">
      <w:pPr>
        <w:spacing w:after="0" w:line="360" w:lineRule="auto"/>
        <w:ind w:firstLine="709"/>
        <w:contextualSpacing/>
        <w:jc w:val="center"/>
        <w:rPr>
          <w:rFonts w:ascii="Times New Roman" w:hAnsi="Times New Roman" w:cs="Times New Roman"/>
          <w:sz w:val="28"/>
          <w:szCs w:val="28"/>
          <w:lang w:val="uk-UA"/>
        </w:rPr>
      </w:pPr>
    </w:p>
    <w:sectPr w:rsidR="00C54A3A" w:rsidSect="00073C6F">
      <w:footerReference w:type="default" r:id="rId12"/>
      <w:pgSz w:w="11906" w:h="16838"/>
      <w:pgMar w:top="1134" w:right="851"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070" w:rsidRPr="0080158F" w:rsidRDefault="00B31070" w:rsidP="0080158F">
      <w:pPr>
        <w:spacing w:after="0" w:line="240" w:lineRule="auto"/>
      </w:pPr>
      <w:r>
        <w:separator/>
      </w:r>
    </w:p>
  </w:endnote>
  <w:endnote w:type="continuationSeparator" w:id="0">
    <w:p w:rsidR="00B31070" w:rsidRPr="0080158F" w:rsidRDefault="00B31070" w:rsidP="0080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2454"/>
      <w:docPartObj>
        <w:docPartGallery w:val="Page Numbers (Bottom of Page)"/>
        <w:docPartUnique/>
      </w:docPartObj>
    </w:sdtPr>
    <w:sdtEndPr/>
    <w:sdtContent>
      <w:p w:rsidR="00604847" w:rsidRDefault="00B31070">
        <w:pPr>
          <w:pStyle w:val="aa"/>
          <w:jc w:val="right"/>
        </w:pPr>
        <w:r>
          <w:fldChar w:fldCharType="begin"/>
        </w:r>
        <w:r>
          <w:instrText xml:space="preserve"> PAGE   \* MERGEFORMAT </w:instrText>
        </w:r>
        <w:r>
          <w:fldChar w:fldCharType="separate"/>
        </w:r>
        <w:r w:rsidR="003658F7">
          <w:rPr>
            <w:noProof/>
          </w:rPr>
          <w:t>33</w:t>
        </w:r>
        <w:r>
          <w:rPr>
            <w:noProof/>
          </w:rPr>
          <w:fldChar w:fldCharType="end"/>
        </w:r>
      </w:p>
    </w:sdtContent>
  </w:sdt>
  <w:p w:rsidR="00604847" w:rsidRDefault="006048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070" w:rsidRPr="0080158F" w:rsidRDefault="00B31070" w:rsidP="0080158F">
      <w:pPr>
        <w:spacing w:after="0" w:line="240" w:lineRule="auto"/>
      </w:pPr>
      <w:r>
        <w:separator/>
      </w:r>
    </w:p>
  </w:footnote>
  <w:footnote w:type="continuationSeparator" w:id="0">
    <w:p w:rsidR="00B31070" w:rsidRPr="0080158F" w:rsidRDefault="00B31070" w:rsidP="00801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998"/>
    <w:multiLevelType w:val="hybridMultilevel"/>
    <w:tmpl w:val="EE2C8E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1F21AA"/>
    <w:multiLevelType w:val="hybridMultilevel"/>
    <w:tmpl w:val="6A50FEC6"/>
    <w:lvl w:ilvl="0" w:tplc="773CB244">
      <w:start w:val="1"/>
      <w:numFmt w:val="decimal"/>
      <w:lvlText w:val="%1."/>
      <w:lvlJc w:val="left"/>
      <w:pPr>
        <w:ind w:left="1070" w:hanging="360"/>
      </w:pPr>
      <w:rPr>
        <w:rFonts w:ascii="Times New Roman" w:hAnsi="Times New Roman" w:cs="Times New Roman" w:hint="default"/>
        <w:sz w:val="28"/>
        <w:szCs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10442691"/>
    <w:multiLevelType w:val="hybridMultilevel"/>
    <w:tmpl w:val="77520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485CB3"/>
    <w:multiLevelType w:val="hybridMultilevel"/>
    <w:tmpl w:val="DBBA1AFA"/>
    <w:lvl w:ilvl="0" w:tplc="B08EACA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902BB2"/>
    <w:multiLevelType w:val="hybridMultilevel"/>
    <w:tmpl w:val="21D8C59E"/>
    <w:lvl w:ilvl="0" w:tplc="0B1C868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E6E8E"/>
    <w:multiLevelType w:val="hybridMultilevel"/>
    <w:tmpl w:val="24646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684659"/>
    <w:multiLevelType w:val="multilevel"/>
    <w:tmpl w:val="2234B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15AFC"/>
    <w:multiLevelType w:val="multilevel"/>
    <w:tmpl w:val="7408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7C4B8D"/>
    <w:multiLevelType w:val="multilevel"/>
    <w:tmpl w:val="3FA2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D480D"/>
    <w:multiLevelType w:val="hybridMultilevel"/>
    <w:tmpl w:val="85CC6A88"/>
    <w:lvl w:ilvl="0" w:tplc="55D08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A11856"/>
    <w:multiLevelType w:val="multilevel"/>
    <w:tmpl w:val="B74A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6F0870"/>
    <w:multiLevelType w:val="hybridMultilevel"/>
    <w:tmpl w:val="DF6A6ABA"/>
    <w:lvl w:ilvl="0" w:tplc="91C49C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E6B74"/>
    <w:multiLevelType w:val="multilevel"/>
    <w:tmpl w:val="2024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892B4D"/>
    <w:multiLevelType w:val="multilevel"/>
    <w:tmpl w:val="E242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3663D6"/>
    <w:multiLevelType w:val="hybridMultilevel"/>
    <w:tmpl w:val="CC7C663A"/>
    <w:lvl w:ilvl="0" w:tplc="0B1C868E">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3A7269"/>
    <w:multiLevelType w:val="hybridMultilevel"/>
    <w:tmpl w:val="EE9C681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3D53603F"/>
    <w:multiLevelType w:val="multilevel"/>
    <w:tmpl w:val="5AEC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F487BA7"/>
    <w:multiLevelType w:val="multilevel"/>
    <w:tmpl w:val="088EA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84783A"/>
    <w:multiLevelType w:val="hybridMultilevel"/>
    <w:tmpl w:val="4D60C3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B832BBA"/>
    <w:multiLevelType w:val="hybridMultilevel"/>
    <w:tmpl w:val="508EA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6C1545"/>
    <w:multiLevelType w:val="hybridMultilevel"/>
    <w:tmpl w:val="9572C7F8"/>
    <w:lvl w:ilvl="0" w:tplc="471C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AF156C"/>
    <w:multiLevelType w:val="hybridMultilevel"/>
    <w:tmpl w:val="F95E4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206524"/>
    <w:multiLevelType w:val="hybridMultilevel"/>
    <w:tmpl w:val="EB50ED3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3CD3997"/>
    <w:multiLevelType w:val="multilevel"/>
    <w:tmpl w:val="4506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5031A8E"/>
    <w:multiLevelType w:val="hybridMultilevel"/>
    <w:tmpl w:val="FF3C5AA0"/>
    <w:lvl w:ilvl="0" w:tplc="0B1C868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9B31E1"/>
    <w:multiLevelType w:val="multilevel"/>
    <w:tmpl w:val="65862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FF1EAE"/>
    <w:multiLevelType w:val="hybridMultilevel"/>
    <w:tmpl w:val="482AD7CC"/>
    <w:lvl w:ilvl="0" w:tplc="0B1C868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6E7C08"/>
    <w:multiLevelType w:val="multilevel"/>
    <w:tmpl w:val="3EF2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C837F2"/>
    <w:multiLevelType w:val="hybridMultilevel"/>
    <w:tmpl w:val="9878CD3C"/>
    <w:lvl w:ilvl="0" w:tplc="657E0706">
      <w:start w:val="2"/>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9">
    <w:nsid w:val="69AF278C"/>
    <w:multiLevelType w:val="multilevel"/>
    <w:tmpl w:val="BFD03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08645C"/>
    <w:multiLevelType w:val="multilevel"/>
    <w:tmpl w:val="CC04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1D5590"/>
    <w:multiLevelType w:val="hybridMultilevel"/>
    <w:tmpl w:val="5B7AEF3C"/>
    <w:lvl w:ilvl="0" w:tplc="0B1C868E">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BFA01FB"/>
    <w:multiLevelType w:val="multilevel"/>
    <w:tmpl w:val="4C9A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F47D74"/>
    <w:multiLevelType w:val="hybridMultilevel"/>
    <w:tmpl w:val="5428D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B25DF7"/>
    <w:multiLevelType w:val="multilevel"/>
    <w:tmpl w:val="48C4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8"/>
  </w:num>
  <w:num w:numId="3">
    <w:abstractNumId w:val="32"/>
  </w:num>
  <w:num w:numId="4">
    <w:abstractNumId w:val="30"/>
  </w:num>
  <w:num w:numId="5">
    <w:abstractNumId w:val="34"/>
  </w:num>
  <w:num w:numId="6">
    <w:abstractNumId w:val="29"/>
  </w:num>
  <w:num w:numId="7">
    <w:abstractNumId w:val="12"/>
  </w:num>
  <w:num w:numId="8">
    <w:abstractNumId w:val="18"/>
  </w:num>
  <w:num w:numId="9">
    <w:abstractNumId w:val="6"/>
  </w:num>
  <w:num w:numId="10">
    <w:abstractNumId w:val="17"/>
  </w:num>
  <w:num w:numId="11">
    <w:abstractNumId w:val="25"/>
  </w:num>
  <w:num w:numId="12">
    <w:abstractNumId w:val="1"/>
  </w:num>
  <w:num w:numId="13">
    <w:abstractNumId w:val="11"/>
  </w:num>
  <w:num w:numId="14">
    <w:abstractNumId w:val="28"/>
  </w:num>
  <w:num w:numId="15">
    <w:abstractNumId w:val="2"/>
  </w:num>
  <w:num w:numId="16">
    <w:abstractNumId w:val="0"/>
  </w:num>
  <w:num w:numId="17">
    <w:abstractNumId w:val="21"/>
  </w:num>
  <w:num w:numId="18">
    <w:abstractNumId w:val="24"/>
  </w:num>
  <w:num w:numId="19">
    <w:abstractNumId w:val="4"/>
  </w:num>
  <w:num w:numId="20">
    <w:abstractNumId w:val="31"/>
  </w:num>
  <w:num w:numId="21">
    <w:abstractNumId w:val="14"/>
  </w:num>
  <w:num w:numId="22">
    <w:abstractNumId w:val="26"/>
  </w:num>
  <w:num w:numId="23">
    <w:abstractNumId w:val="20"/>
  </w:num>
  <w:num w:numId="24">
    <w:abstractNumId w:val="5"/>
  </w:num>
  <w:num w:numId="25">
    <w:abstractNumId w:val="9"/>
  </w:num>
  <w:num w:numId="26">
    <w:abstractNumId w:val="3"/>
  </w:num>
  <w:num w:numId="27">
    <w:abstractNumId w:val="19"/>
  </w:num>
  <w:num w:numId="28">
    <w:abstractNumId w:val="23"/>
  </w:num>
  <w:num w:numId="29">
    <w:abstractNumId w:val="13"/>
  </w:num>
  <w:num w:numId="30">
    <w:abstractNumId w:val="10"/>
  </w:num>
  <w:num w:numId="31">
    <w:abstractNumId w:val="7"/>
  </w:num>
  <w:num w:numId="32">
    <w:abstractNumId w:val="16"/>
  </w:num>
  <w:num w:numId="33">
    <w:abstractNumId w:val="33"/>
  </w:num>
  <w:num w:numId="34">
    <w:abstractNumId w:val="1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4103"/>
    <w:rsid w:val="00016B8A"/>
    <w:rsid w:val="00051D78"/>
    <w:rsid w:val="00073C6F"/>
    <w:rsid w:val="000E5652"/>
    <w:rsid w:val="00123942"/>
    <w:rsid w:val="00135DDA"/>
    <w:rsid w:val="00140329"/>
    <w:rsid w:val="00154954"/>
    <w:rsid w:val="001562DA"/>
    <w:rsid w:val="001706A1"/>
    <w:rsid w:val="001C0FA5"/>
    <w:rsid w:val="001F767D"/>
    <w:rsid w:val="00206661"/>
    <w:rsid w:val="00245FBC"/>
    <w:rsid w:val="00247577"/>
    <w:rsid w:val="0026754D"/>
    <w:rsid w:val="0029700D"/>
    <w:rsid w:val="003034DA"/>
    <w:rsid w:val="003062CD"/>
    <w:rsid w:val="00356316"/>
    <w:rsid w:val="003658F7"/>
    <w:rsid w:val="00372496"/>
    <w:rsid w:val="003737B5"/>
    <w:rsid w:val="003D29AC"/>
    <w:rsid w:val="003E1C50"/>
    <w:rsid w:val="003E4329"/>
    <w:rsid w:val="004054B0"/>
    <w:rsid w:val="0043790C"/>
    <w:rsid w:val="004571D9"/>
    <w:rsid w:val="00464124"/>
    <w:rsid w:val="00473CAC"/>
    <w:rsid w:val="00475887"/>
    <w:rsid w:val="00491FFD"/>
    <w:rsid w:val="004A675F"/>
    <w:rsid w:val="004B3A69"/>
    <w:rsid w:val="004C6488"/>
    <w:rsid w:val="004D3929"/>
    <w:rsid w:val="004D484E"/>
    <w:rsid w:val="004E20A8"/>
    <w:rsid w:val="004E27E4"/>
    <w:rsid w:val="004F7DE7"/>
    <w:rsid w:val="00504D2E"/>
    <w:rsid w:val="00525653"/>
    <w:rsid w:val="005758D0"/>
    <w:rsid w:val="00591287"/>
    <w:rsid w:val="005B2B33"/>
    <w:rsid w:val="005B720D"/>
    <w:rsid w:val="00601632"/>
    <w:rsid w:val="00603280"/>
    <w:rsid w:val="00604847"/>
    <w:rsid w:val="00645102"/>
    <w:rsid w:val="006504AA"/>
    <w:rsid w:val="006746BF"/>
    <w:rsid w:val="0068290E"/>
    <w:rsid w:val="006F41A8"/>
    <w:rsid w:val="006F61DE"/>
    <w:rsid w:val="00705D6B"/>
    <w:rsid w:val="00710652"/>
    <w:rsid w:val="007158A0"/>
    <w:rsid w:val="007265A1"/>
    <w:rsid w:val="00727A3F"/>
    <w:rsid w:val="00770E45"/>
    <w:rsid w:val="00780202"/>
    <w:rsid w:val="00792FF4"/>
    <w:rsid w:val="007941A9"/>
    <w:rsid w:val="007B2F57"/>
    <w:rsid w:val="007E5D3F"/>
    <w:rsid w:val="007F2626"/>
    <w:rsid w:val="007F58CD"/>
    <w:rsid w:val="0080158F"/>
    <w:rsid w:val="00803B45"/>
    <w:rsid w:val="00814046"/>
    <w:rsid w:val="00832464"/>
    <w:rsid w:val="00864AB5"/>
    <w:rsid w:val="00876B15"/>
    <w:rsid w:val="008A0003"/>
    <w:rsid w:val="00924FC6"/>
    <w:rsid w:val="00936206"/>
    <w:rsid w:val="00943B9E"/>
    <w:rsid w:val="009478A3"/>
    <w:rsid w:val="009A0D9E"/>
    <w:rsid w:val="00A16763"/>
    <w:rsid w:val="00A22DE0"/>
    <w:rsid w:val="00A26F34"/>
    <w:rsid w:val="00A326FF"/>
    <w:rsid w:val="00A80EDA"/>
    <w:rsid w:val="00AA59A4"/>
    <w:rsid w:val="00AD15C3"/>
    <w:rsid w:val="00B14103"/>
    <w:rsid w:val="00B23EEB"/>
    <w:rsid w:val="00B31070"/>
    <w:rsid w:val="00B40373"/>
    <w:rsid w:val="00B432A9"/>
    <w:rsid w:val="00B650D4"/>
    <w:rsid w:val="00B860DF"/>
    <w:rsid w:val="00BB7F65"/>
    <w:rsid w:val="00BD4AC2"/>
    <w:rsid w:val="00BD693B"/>
    <w:rsid w:val="00BE6581"/>
    <w:rsid w:val="00C01A14"/>
    <w:rsid w:val="00C04B3E"/>
    <w:rsid w:val="00C06051"/>
    <w:rsid w:val="00C16FDE"/>
    <w:rsid w:val="00C17B01"/>
    <w:rsid w:val="00C54A3A"/>
    <w:rsid w:val="00C623C6"/>
    <w:rsid w:val="00C638A0"/>
    <w:rsid w:val="00C71281"/>
    <w:rsid w:val="00C830CC"/>
    <w:rsid w:val="00CB4129"/>
    <w:rsid w:val="00CB7252"/>
    <w:rsid w:val="00D02151"/>
    <w:rsid w:val="00D24EEA"/>
    <w:rsid w:val="00D31738"/>
    <w:rsid w:val="00D32BA0"/>
    <w:rsid w:val="00D3414E"/>
    <w:rsid w:val="00D34242"/>
    <w:rsid w:val="00D5144A"/>
    <w:rsid w:val="00D73A3C"/>
    <w:rsid w:val="00DA1D82"/>
    <w:rsid w:val="00DC3BB0"/>
    <w:rsid w:val="00DE5F0E"/>
    <w:rsid w:val="00DF6250"/>
    <w:rsid w:val="00E3378B"/>
    <w:rsid w:val="00E33E8C"/>
    <w:rsid w:val="00E4149F"/>
    <w:rsid w:val="00E62039"/>
    <w:rsid w:val="00E82740"/>
    <w:rsid w:val="00E90F19"/>
    <w:rsid w:val="00EC2710"/>
    <w:rsid w:val="00ED0EB6"/>
    <w:rsid w:val="00EE4FCE"/>
    <w:rsid w:val="00F13143"/>
    <w:rsid w:val="00F14024"/>
    <w:rsid w:val="00F3273F"/>
    <w:rsid w:val="00F32EEB"/>
    <w:rsid w:val="00F407FC"/>
    <w:rsid w:val="00F51685"/>
    <w:rsid w:val="00F63998"/>
    <w:rsid w:val="00F714C7"/>
    <w:rsid w:val="00F91D37"/>
    <w:rsid w:val="00FA3A94"/>
    <w:rsid w:val="00FC0F15"/>
    <w:rsid w:val="00FC6C08"/>
    <w:rsid w:val="00FE1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D6B"/>
  </w:style>
  <w:style w:type="paragraph" w:styleId="2">
    <w:name w:val="heading 2"/>
    <w:basedOn w:val="a"/>
    <w:link w:val="20"/>
    <w:uiPriority w:val="9"/>
    <w:qFormat/>
    <w:rsid w:val="00FC6C08"/>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4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04B3E"/>
  </w:style>
  <w:style w:type="character" w:styleId="a4">
    <w:name w:val="Hyperlink"/>
    <w:basedOn w:val="a0"/>
    <w:uiPriority w:val="99"/>
    <w:semiHidden/>
    <w:unhideWhenUsed/>
    <w:rsid w:val="00C04B3E"/>
    <w:rPr>
      <w:color w:val="0000FF"/>
      <w:u w:val="single"/>
    </w:rPr>
  </w:style>
  <w:style w:type="paragraph" w:styleId="a5">
    <w:name w:val="No Spacing"/>
    <w:uiPriority w:val="1"/>
    <w:qFormat/>
    <w:rsid w:val="00A26F34"/>
    <w:pPr>
      <w:spacing w:after="0" w:line="240" w:lineRule="auto"/>
    </w:pPr>
  </w:style>
  <w:style w:type="paragraph" w:styleId="a6">
    <w:name w:val="List Paragraph"/>
    <w:basedOn w:val="a"/>
    <w:uiPriority w:val="34"/>
    <w:qFormat/>
    <w:rsid w:val="00E4149F"/>
    <w:pPr>
      <w:ind w:left="720"/>
      <w:contextualSpacing/>
    </w:pPr>
  </w:style>
  <w:style w:type="character" w:customStyle="1" w:styleId="apple-converted-space">
    <w:name w:val="apple-converted-space"/>
    <w:basedOn w:val="a0"/>
    <w:rsid w:val="00BB7F65"/>
  </w:style>
  <w:style w:type="table" w:styleId="a7">
    <w:name w:val="Table Grid"/>
    <w:basedOn w:val="a1"/>
    <w:uiPriority w:val="59"/>
    <w:rsid w:val="00BB7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80158F"/>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80158F"/>
  </w:style>
  <w:style w:type="paragraph" w:styleId="aa">
    <w:name w:val="footer"/>
    <w:basedOn w:val="a"/>
    <w:link w:val="ab"/>
    <w:uiPriority w:val="99"/>
    <w:unhideWhenUsed/>
    <w:rsid w:val="0080158F"/>
    <w:pPr>
      <w:tabs>
        <w:tab w:val="center" w:pos="4819"/>
        <w:tab w:val="right" w:pos="9639"/>
      </w:tabs>
      <w:spacing w:after="0" w:line="240" w:lineRule="auto"/>
    </w:pPr>
  </w:style>
  <w:style w:type="character" w:customStyle="1" w:styleId="ab">
    <w:name w:val="Нижний колонтитул Знак"/>
    <w:basedOn w:val="a0"/>
    <w:link w:val="aa"/>
    <w:uiPriority w:val="99"/>
    <w:rsid w:val="0080158F"/>
  </w:style>
  <w:style w:type="character" w:customStyle="1" w:styleId="20">
    <w:name w:val="Заголовок 2 Знак"/>
    <w:basedOn w:val="a0"/>
    <w:link w:val="2"/>
    <w:uiPriority w:val="9"/>
    <w:rsid w:val="00FC6C08"/>
    <w:rPr>
      <w:rFonts w:ascii="Times New Roman" w:eastAsia="Times New Roman" w:hAnsi="Times New Roman" w:cs="Times New Roman"/>
      <w:b/>
      <w:bCs/>
      <w:sz w:val="36"/>
      <w:szCs w:val="36"/>
      <w:lang w:val="uk-UA" w:eastAsia="uk-UA"/>
    </w:rPr>
  </w:style>
  <w:style w:type="character" w:styleId="ac">
    <w:name w:val="Strong"/>
    <w:basedOn w:val="a0"/>
    <w:uiPriority w:val="22"/>
    <w:qFormat/>
    <w:rsid w:val="00FC6C08"/>
    <w:rPr>
      <w:b/>
      <w:bCs/>
    </w:rPr>
  </w:style>
  <w:style w:type="character" w:styleId="ad">
    <w:name w:val="Emphasis"/>
    <w:basedOn w:val="a0"/>
    <w:uiPriority w:val="20"/>
    <w:qFormat/>
    <w:rsid w:val="004571D9"/>
    <w:rPr>
      <w:i/>
      <w:iCs/>
    </w:rPr>
  </w:style>
  <w:style w:type="paragraph" w:styleId="ae">
    <w:name w:val="Balloon Text"/>
    <w:basedOn w:val="a"/>
    <w:link w:val="af"/>
    <w:uiPriority w:val="99"/>
    <w:semiHidden/>
    <w:unhideWhenUsed/>
    <w:rsid w:val="00016B8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16B8A"/>
    <w:rPr>
      <w:rFonts w:ascii="Tahoma" w:hAnsi="Tahoma" w:cs="Tahoma"/>
      <w:sz w:val="16"/>
      <w:szCs w:val="16"/>
    </w:rPr>
  </w:style>
  <w:style w:type="character" w:customStyle="1" w:styleId="a2alabel">
    <w:name w:val="a2a_label"/>
    <w:basedOn w:val="a0"/>
    <w:rsid w:val="00135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5657">
      <w:bodyDiv w:val="1"/>
      <w:marLeft w:val="0"/>
      <w:marRight w:val="0"/>
      <w:marTop w:val="0"/>
      <w:marBottom w:val="0"/>
      <w:divBdr>
        <w:top w:val="none" w:sz="0" w:space="0" w:color="auto"/>
        <w:left w:val="none" w:sz="0" w:space="0" w:color="auto"/>
        <w:bottom w:val="none" w:sz="0" w:space="0" w:color="auto"/>
        <w:right w:val="none" w:sz="0" w:space="0" w:color="auto"/>
      </w:divBdr>
      <w:divsChild>
        <w:div w:id="2018801973">
          <w:marLeft w:val="0"/>
          <w:marRight w:val="0"/>
          <w:marTop w:val="0"/>
          <w:marBottom w:val="0"/>
          <w:divBdr>
            <w:top w:val="none" w:sz="0" w:space="0" w:color="auto"/>
            <w:left w:val="none" w:sz="0" w:space="0" w:color="auto"/>
            <w:bottom w:val="none" w:sz="0" w:space="0" w:color="auto"/>
            <w:right w:val="none" w:sz="0" w:space="0" w:color="auto"/>
          </w:divBdr>
        </w:div>
      </w:divsChild>
    </w:div>
    <w:div w:id="411589890">
      <w:bodyDiv w:val="1"/>
      <w:marLeft w:val="0"/>
      <w:marRight w:val="0"/>
      <w:marTop w:val="0"/>
      <w:marBottom w:val="0"/>
      <w:divBdr>
        <w:top w:val="none" w:sz="0" w:space="0" w:color="auto"/>
        <w:left w:val="none" w:sz="0" w:space="0" w:color="auto"/>
        <w:bottom w:val="none" w:sz="0" w:space="0" w:color="auto"/>
        <w:right w:val="none" w:sz="0" w:space="0" w:color="auto"/>
      </w:divBdr>
      <w:divsChild>
        <w:div w:id="1198857232">
          <w:marLeft w:val="0"/>
          <w:marRight w:val="0"/>
          <w:marTop w:val="240"/>
          <w:marBottom w:val="240"/>
          <w:divBdr>
            <w:top w:val="none" w:sz="0" w:space="0" w:color="auto"/>
            <w:left w:val="none" w:sz="0" w:space="0" w:color="auto"/>
            <w:bottom w:val="none" w:sz="0" w:space="0" w:color="auto"/>
            <w:right w:val="none" w:sz="0" w:space="0" w:color="auto"/>
          </w:divBdr>
          <w:divsChild>
            <w:div w:id="20678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4827">
      <w:bodyDiv w:val="1"/>
      <w:marLeft w:val="0"/>
      <w:marRight w:val="0"/>
      <w:marTop w:val="0"/>
      <w:marBottom w:val="0"/>
      <w:divBdr>
        <w:top w:val="none" w:sz="0" w:space="0" w:color="auto"/>
        <w:left w:val="none" w:sz="0" w:space="0" w:color="auto"/>
        <w:bottom w:val="none" w:sz="0" w:space="0" w:color="auto"/>
        <w:right w:val="none" w:sz="0" w:space="0" w:color="auto"/>
      </w:divBdr>
    </w:div>
    <w:div w:id="813447872">
      <w:bodyDiv w:val="1"/>
      <w:marLeft w:val="0"/>
      <w:marRight w:val="0"/>
      <w:marTop w:val="0"/>
      <w:marBottom w:val="0"/>
      <w:divBdr>
        <w:top w:val="none" w:sz="0" w:space="0" w:color="auto"/>
        <w:left w:val="none" w:sz="0" w:space="0" w:color="auto"/>
        <w:bottom w:val="none" w:sz="0" w:space="0" w:color="auto"/>
        <w:right w:val="none" w:sz="0" w:space="0" w:color="auto"/>
      </w:divBdr>
    </w:div>
    <w:div w:id="1174566762">
      <w:bodyDiv w:val="1"/>
      <w:marLeft w:val="0"/>
      <w:marRight w:val="0"/>
      <w:marTop w:val="0"/>
      <w:marBottom w:val="0"/>
      <w:divBdr>
        <w:top w:val="none" w:sz="0" w:space="0" w:color="auto"/>
        <w:left w:val="none" w:sz="0" w:space="0" w:color="auto"/>
        <w:bottom w:val="none" w:sz="0" w:space="0" w:color="auto"/>
        <w:right w:val="none" w:sz="0" w:space="0" w:color="auto"/>
      </w:divBdr>
    </w:div>
    <w:div w:id="1204518100">
      <w:bodyDiv w:val="1"/>
      <w:marLeft w:val="0"/>
      <w:marRight w:val="0"/>
      <w:marTop w:val="0"/>
      <w:marBottom w:val="0"/>
      <w:divBdr>
        <w:top w:val="none" w:sz="0" w:space="0" w:color="auto"/>
        <w:left w:val="none" w:sz="0" w:space="0" w:color="auto"/>
        <w:bottom w:val="none" w:sz="0" w:space="0" w:color="auto"/>
        <w:right w:val="none" w:sz="0" w:space="0" w:color="auto"/>
      </w:divBdr>
    </w:div>
    <w:div w:id="1471704164">
      <w:bodyDiv w:val="1"/>
      <w:marLeft w:val="0"/>
      <w:marRight w:val="0"/>
      <w:marTop w:val="0"/>
      <w:marBottom w:val="0"/>
      <w:divBdr>
        <w:top w:val="none" w:sz="0" w:space="0" w:color="auto"/>
        <w:left w:val="none" w:sz="0" w:space="0" w:color="auto"/>
        <w:bottom w:val="none" w:sz="0" w:space="0" w:color="auto"/>
        <w:right w:val="none" w:sz="0" w:space="0" w:color="auto"/>
      </w:divBdr>
    </w:div>
    <w:div w:id="1672221771">
      <w:bodyDiv w:val="1"/>
      <w:marLeft w:val="0"/>
      <w:marRight w:val="0"/>
      <w:marTop w:val="0"/>
      <w:marBottom w:val="0"/>
      <w:divBdr>
        <w:top w:val="none" w:sz="0" w:space="0" w:color="auto"/>
        <w:left w:val="none" w:sz="0" w:space="0" w:color="auto"/>
        <w:bottom w:val="none" w:sz="0" w:space="0" w:color="auto"/>
        <w:right w:val="none" w:sz="0" w:space="0" w:color="auto"/>
      </w:divBdr>
    </w:div>
    <w:div w:id="1782144434">
      <w:bodyDiv w:val="1"/>
      <w:marLeft w:val="0"/>
      <w:marRight w:val="0"/>
      <w:marTop w:val="0"/>
      <w:marBottom w:val="0"/>
      <w:divBdr>
        <w:top w:val="none" w:sz="0" w:space="0" w:color="auto"/>
        <w:left w:val="none" w:sz="0" w:space="0" w:color="auto"/>
        <w:bottom w:val="none" w:sz="0" w:space="0" w:color="auto"/>
        <w:right w:val="none" w:sz="0" w:space="0" w:color="auto"/>
      </w:divBdr>
    </w:div>
    <w:div w:id="1964849206">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20662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1%D0%B5%D0%B7%D0%B4%D0%BE%D0%BA%D1%83%D0%BC%D0%B5%D0%BD%D1%82%D0%B0%D1%80%D0%BD%D0%B0_%D1%84%D0%BE%D1%80%D0%BC%D0%B0_%D1%86%D1%96%D0%BD%D0%BD%D0%BE%D0%B3%D0%BE_%D0%BF%D0%B0%D0%BF%D0%B5%D1%80%D1%8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6.4138205634512432E-2"/>
          <c:y val="0.1094206479322052"/>
          <c:w val="0.59246759789701042"/>
          <c:h val="0.78897884098798499"/>
        </c:manualLayout>
      </c:layout>
      <c:pie3DChart>
        <c:varyColors val="1"/>
        <c:ser>
          <c:idx val="0"/>
          <c:order val="0"/>
          <c:explosion val="25"/>
          <c:dLbls>
            <c:dLbl>
              <c:idx val="1"/>
              <c:layout>
                <c:manualLayout>
                  <c:x val="-7.1143919510061292E-3"/>
                  <c:y val="0.12475102070574512"/>
                </c:manualLayout>
              </c:layout>
              <c:showLegendKey val="0"/>
              <c:showVal val="1"/>
              <c:showCatName val="0"/>
              <c:showSerName val="0"/>
              <c:showPercent val="0"/>
              <c:showBubbleSize val="0"/>
            </c:dLbl>
            <c:dLbl>
              <c:idx val="2"/>
              <c:layout>
                <c:manualLayout>
                  <c:x val="7.8535651793525847E-3"/>
                  <c:y val="4.2945829687955656E-2"/>
                </c:manualLayout>
              </c:layout>
              <c:showLegendKey val="0"/>
              <c:showVal val="1"/>
              <c:showCatName val="0"/>
              <c:showSerName val="0"/>
              <c:showPercent val="0"/>
              <c:showBubbleSize val="0"/>
            </c:dLbl>
            <c:dLbl>
              <c:idx val="3"/>
              <c:layout>
                <c:manualLayout>
                  <c:x val="2.3838473315835541E-2"/>
                  <c:y val="-2.7880577427821636E-2"/>
                </c:manualLayout>
              </c:layout>
              <c:showLegendKey val="0"/>
              <c:showVal val="1"/>
              <c:showCatName val="0"/>
              <c:showSerName val="0"/>
              <c:showPercent val="0"/>
              <c:showBubbleSize val="0"/>
            </c:dLbl>
            <c:dLbl>
              <c:idx val="4"/>
              <c:layout>
                <c:manualLayout>
                  <c:x val="6.3621884725709565E-2"/>
                  <c:y val="-3.4794682922699188E-2"/>
                </c:manualLayout>
              </c:layout>
              <c:showLegendKey val="0"/>
              <c:showVal val="1"/>
              <c:showCatName val="0"/>
              <c:showSerName val="0"/>
              <c:showPercent val="0"/>
              <c:showBubbleSize val="0"/>
            </c:dLbl>
            <c:dLbl>
              <c:idx val="5"/>
              <c:layout>
                <c:manualLayout>
                  <c:x val="6.8095691163604644E-2"/>
                  <c:y val="4.1367016622922172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Лист1!$A$1:$A$6</c:f>
              <c:strCache>
                <c:ptCount val="6"/>
                <c:pt idx="0">
                  <c:v>Державні</c:v>
                </c:pt>
                <c:pt idx="1">
                  <c:v>Облігації місцевої позики</c:v>
                </c:pt>
                <c:pt idx="2">
                  <c:v>Інвестиційні сертифікати</c:v>
                </c:pt>
                <c:pt idx="3">
                  <c:v>Інші</c:v>
                </c:pt>
                <c:pt idx="4">
                  <c:v>Акції</c:v>
                </c:pt>
                <c:pt idx="5">
                  <c:v>Облігації підприємств</c:v>
                </c:pt>
              </c:strCache>
            </c:strRef>
          </c:cat>
          <c:val>
            <c:numRef>
              <c:f>Лист1!$B$1:$B$6</c:f>
              <c:numCache>
                <c:formatCode>0.00%</c:formatCode>
                <c:ptCount val="6"/>
                <c:pt idx="0">
                  <c:v>0.88070000000000026</c:v>
                </c:pt>
                <c:pt idx="1">
                  <c:v>1.0900000000000012E-2</c:v>
                </c:pt>
                <c:pt idx="2">
                  <c:v>1.0900000000000012E-2</c:v>
                </c:pt>
                <c:pt idx="3">
                  <c:v>1.3100000000000014E-2</c:v>
                </c:pt>
                <c:pt idx="4">
                  <c:v>4.1400000000000013E-2</c:v>
                </c:pt>
                <c:pt idx="5">
                  <c:v>5.3000000000000026E-2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cat>
            <c:numRef>
              <c:f>Лист2!$A$1:$A$6</c:f>
              <c:numCache>
                <c:formatCode>General</c:formatCode>
                <c:ptCount val="6"/>
                <c:pt idx="0">
                  <c:v>2011</c:v>
                </c:pt>
                <c:pt idx="1">
                  <c:v>2012</c:v>
                </c:pt>
                <c:pt idx="2">
                  <c:v>2013</c:v>
                </c:pt>
                <c:pt idx="3">
                  <c:v>2014</c:v>
                </c:pt>
                <c:pt idx="4">
                  <c:v>2015</c:v>
                </c:pt>
                <c:pt idx="5">
                  <c:v>2016</c:v>
                </c:pt>
              </c:numCache>
            </c:numRef>
          </c:cat>
          <c:val>
            <c:numRef>
              <c:f>Лист2!$B$1:$B$6</c:f>
              <c:numCache>
                <c:formatCode>General</c:formatCode>
                <c:ptCount val="6"/>
                <c:pt idx="0">
                  <c:v>59</c:v>
                </c:pt>
                <c:pt idx="1">
                  <c:v>150</c:v>
                </c:pt>
                <c:pt idx="2">
                  <c:v>180</c:v>
                </c:pt>
                <c:pt idx="3">
                  <c:v>240</c:v>
                </c:pt>
                <c:pt idx="4">
                  <c:v>360</c:v>
                </c:pt>
                <c:pt idx="5">
                  <c:v>540</c:v>
                </c:pt>
              </c:numCache>
            </c:numRef>
          </c:val>
        </c:ser>
        <c:dLbls>
          <c:showLegendKey val="0"/>
          <c:showVal val="0"/>
          <c:showCatName val="0"/>
          <c:showSerName val="0"/>
          <c:showPercent val="0"/>
          <c:showBubbleSize val="0"/>
        </c:dLbls>
        <c:gapWidth val="150"/>
        <c:axId val="297549184"/>
        <c:axId val="297571456"/>
      </c:barChart>
      <c:catAx>
        <c:axId val="297549184"/>
        <c:scaling>
          <c:orientation val="minMax"/>
        </c:scaling>
        <c:delete val="0"/>
        <c:axPos val="b"/>
        <c:numFmt formatCode="General" sourceLinked="1"/>
        <c:majorTickMark val="out"/>
        <c:minorTickMark val="none"/>
        <c:tickLblPos val="nextTo"/>
        <c:crossAx val="297571456"/>
        <c:crosses val="autoZero"/>
        <c:auto val="1"/>
        <c:lblAlgn val="ctr"/>
        <c:lblOffset val="100"/>
        <c:noMultiLvlLbl val="0"/>
      </c:catAx>
      <c:valAx>
        <c:axId val="297571456"/>
        <c:scaling>
          <c:orientation val="minMax"/>
        </c:scaling>
        <c:delete val="0"/>
        <c:axPos val="l"/>
        <c:majorGridlines/>
        <c:numFmt formatCode="General" sourceLinked="1"/>
        <c:majorTickMark val="out"/>
        <c:minorTickMark val="none"/>
        <c:tickLblPos val="nextTo"/>
        <c:crossAx val="2975491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8.4488407699037621E-2"/>
          <c:y val="6.0659813356663754E-2"/>
          <c:w val="0.7640129046369204"/>
          <c:h val="0.79822506561679785"/>
        </c:manualLayout>
      </c:layout>
      <c:barChart>
        <c:barDir val="col"/>
        <c:grouping val="stacked"/>
        <c:varyColors val="0"/>
        <c:ser>
          <c:idx val="0"/>
          <c:order val="0"/>
          <c:invertIfNegative val="0"/>
          <c:dLbls>
            <c:dLbl>
              <c:idx val="0"/>
              <c:layout>
                <c:manualLayout>
                  <c:x val="8.3333333333333367E-3"/>
                  <c:y val="-0.10648148148148168"/>
                </c:manualLayout>
              </c:layout>
              <c:dLblPos val="inEnd"/>
              <c:showLegendKey val="0"/>
              <c:showVal val="1"/>
              <c:showCatName val="0"/>
              <c:showSerName val="0"/>
              <c:showPercent val="0"/>
              <c:showBubbleSize val="0"/>
            </c:dLbl>
            <c:dLbl>
              <c:idx val="1"/>
              <c:layout>
                <c:manualLayout>
                  <c:x val="0"/>
                  <c:y val="-9.7222222222222307E-2"/>
                </c:manualLayout>
              </c:layout>
              <c:dLblPos val="inEnd"/>
              <c:showLegendKey val="0"/>
              <c:showVal val="1"/>
              <c:showCatName val="0"/>
              <c:showSerName val="0"/>
              <c:showPercent val="0"/>
              <c:showBubbleSize val="0"/>
            </c:dLbl>
            <c:dLbl>
              <c:idx val="2"/>
              <c:layout>
                <c:manualLayout>
                  <c:x val="-2.7777777777777887E-3"/>
                  <c:y val="-8.7962962962963132E-2"/>
                </c:manualLayout>
              </c:layout>
              <c:dLblPos val="inEnd"/>
              <c:showLegendKey val="0"/>
              <c:showVal val="1"/>
              <c:showCatName val="0"/>
              <c:showSerName val="0"/>
              <c:showPercent val="0"/>
              <c:showBubbleSize val="0"/>
            </c:dLbl>
            <c:dLbl>
              <c:idx val="3"/>
              <c:layout>
                <c:manualLayout>
                  <c:x val="0"/>
                  <c:y val="-8.3333333333333343E-2"/>
                </c:manualLayout>
              </c:layout>
              <c:dLblPos val="inEnd"/>
              <c:showLegendKey val="0"/>
              <c:showVal val="1"/>
              <c:showCatName val="0"/>
              <c:showSerName val="0"/>
              <c:showPercent val="0"/>
              <c:showBubbleSize val="0"/>
            </c:dLbl>
            <c:dLbl>
              <c:idx val="4"/>
              <c:layout>
                <c:manualLayout>
                  <c:x val="2.7777777777777887E-3"/>
                  <c:y val="-9.7222222222222224E-2"/>
                </c:manualLayout>
              </c:layout>
              <c:dLblPos val="inEnd"/>
              <c:showLegendKey val="0"/>
              <c:showVal val="1"/>
              <c:showCatName val="0"/>
              <c:showSerName val="0"/>
              <c:showPercent val="0"/>
              <c:showBubbleSize val="0"/>
            </c:dLbl>
            <c:dLbl>
              <c:idx val="5"/>
              <c:layout>
                <c:manualLayout>
                  <c:x val="0"/>
                  <c:y val="-9.2592592592592893E-2"/>
                </c:manualLayout>
              </c:layout>
              <c:dLblPos val="inEnd"/>
              <c:showLegendKey val="0"/>
              <c:showVal val="1"/>
              <c:showCatName val="0"/>
              <c:showSerName val="0"/>
              <c:showPercent val="0"/>
              <c:showBubbleSize val="0"/>
            </c:dLbl>
            <c:dLbl>
              <c:idx val="6"/>
              <c:layout>
                <c:manualLayout>
                  <c:x val="0"/>
                  <c:y val="-9.7222222222222224E-2"/>
                </c:manualLayout>
              </c:layout>
              <c:dLblPos val="inEnd"/>
              <c:showLegendKey val="0"/>
              <c:showVal val="1"/>
              <c:showCatName val="0"/>
              <c:showSerName val="0"/>
              <c:showPercent val="0"/>
              <c:showBubbleSize val="0"/>
            </c:dLbl>
            <c:dLbl>
              <c:idx val="7"/>
              <c:layout>
                <c:manualLayout>
                  <c:x val="0"/>
                  <c:y val="-9.7222222222222224E-2"/>
                </c:manualLayout>
              </c:layout>
              <c:dLblPos val="inEnd"/>
              <c:showLegendKey val="0"/>
              <c:showVal val="1"/>
              <c:showCatName val="0"/>
              <c:showSerName val="0"/>
              <c:showPercent val="0"/>
              <c:showBubbleSize val="0"/>
            </c:dLbl>
            <c:dLbl>
              <c:idx val="8"/>
              <c:layout>
                <c:manualLayout>
                  <c:x val="0"/>
                  <c:y val="-9.7222222222222224E-2"/>
                </c:manualLayout>
              </c:layout>
              <c:dLblPos val="inEnd"/>
              <c:showLegendKey val="0"/>
              <c:showVal val="1"/>
              <c:showCatName val="0"/>
              <c:showSerName val="0"/>
              <c:showPercent val="0"/>
              <c:showBubbleSize val="0"/>
            </c:dLbl>
            <c:dLbl>
              <c:idx val="9"/>
              <c:layout>
                <c:manualLayout>
                  <c:x val="-5.5555555555555558E-3"/>
                  <c:y val="-9.7222222222222224E-2"/>
                </c:manualLayout>
              </c:layout>
              <c:dLblPos val="inEnd"/>
              <c:showLegendKey val="0"/>
              <c:showVal val="1"/>
              <c:showCatName val="0"/>
              <c:showSerName val="0"/>
              <c:showPercent val="0"/>
              <c:showBubbleSize val="0"/>
            </c:dLbl>
            <c:dLbl>
              <c:idx val="10"/>
              <c:layout>
                <c:manualLayout>
                  <c:x val="0"/>
                  <c:y val="-8.7962962962963132E-2"/>
                </c:manualLayout>
              </c:layout>
              <c:dLblPos val="in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numRef>
              <c:f>Лист3!$A$1:$A$11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Лист3!$B$1:$B$11</c:f>
              <c:numCache>
                <c:formatCode>General</c:formatCode>
                <c:ptCount val="11"/>
                <c:pt idx="0">
                  <c:v>4.3</c:v>
                </c:pt>
                <c:pt idx="1">
                  <c:v>10.1</c:v>
                </c:pt>
                <c:pt idx="2">
                  <c:v>20.5</c:v>
                </c:pt>
                <c:pt idx="3">
                  <c:v>43</c:v>
                </c:pt>
                <c:pt idx="4">
                  <c:v>30</c:v>
                </c:pt>
                <c:pt idx="5">
                  <c:v>9.5</c:v>
                </c:pt>
                <c:pt idx="6">
                  <c:v>8</c:v>
                </c:pt>
                <c:pt idx="7">
                  <c:v>34.5</c:v>
                </c:pt>
                <c:pt idx="8">
                  <c:v>50</c:v>
                </c:pt>
                <c:pt idx="9">
                  <c:v>41.2</c:v>
                </c:pt>
                <c:pt idx="10">
                  <c:v>29.5</c:v>
                </c:pt>
              </c:numCache>
            </c:numRef>
          </c:val>
        </c:ser>
        <c:dLbls>
          <c:showLegendKey val="0"/>
          <c:showVal val="0"/>
          <c:showCatName val="0"/>
          <c:showSerName val="0"/>
          <c:showPercent val="0"/>
          <c:showBubbleSize val="0"/>
        </c:dLbls>
        <c:gapWidth val="150"/>
        <c:overlap val="100"/>
        <c:axId val="297595648"/>
        <c:axId val="297597184"/>
      </c:barChart>
      <c:catAx>
        <c:axId val="297595648"/>
        <c:scaling>
          <c:orientation val="minMax"/>
        </c:scaling>
        <c:delete val="0"/>
        <c:axPos val="b"/>
        <c:numFmt formatCode="General" sourceLinked="1"/>
        <c:majorTickMark val="out"/>
        <c:minorTickMark val="none"/>
        <c:tickLblPos val="nextTo"/>
        <c:crossAx val="297597184"/>
        <c:crosses val="autoZero"/>
        <c:auto val="1"/>
        <c:lblAlgn val="ctr"/>
        <c:lblOffset val="100"/>
        <c:noMultiLvlLbl val="0"/>
      </c:catAx>
      <c:valAx>
        <c:axId val="297597184"/>
        <c:scaling>
          <c:orientation val="minMax"/>
        </c:scaling>
        <c:delete val="0"/>
        <c:axPos val="l"/>
        <c:majorGridlines/>
        <c:numFmt formatCode="General" sourceLinked="1"/>
        <c:majorTickMark val="out"/>
        <c:minorTickMark val="none"/>
        <c:tickLblPos val="nextTo"/>
        <c:crossAx val="2975956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9347</Words>
  <Characters>53281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dc:creator>
  <cp:lastModifiedBy>Олексій А</cp:lastModifiedBy>
  <cp:revision>13</cp:revision>
  <dcterms:created xsi:type="dcterms:W3CDTF">2017-02-02T18:17:00Z</dcterms:created>
  <dcterms:modified xsi:type="dcterms:W3CDTF">2017-10-27T09:27:00Z</dcterms:modified>
</cp:coreProperties>
</file>